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B899F2">
      <w:pPr>
        <w:tabs>
          <w:tab w:val="right" w:pos="8730"/>
        </w:tabs>
        <w:spacing w:line="580" w:lineRule="exact"/>
        <w:outlineLvl w:val="0"/>
        <w:rPr>
          <w:rFonts w:ascii="Times New Roman" w:hAnsi="Times New Roman" w:eastAsia="黑体" w:cs="Times New Roman"/>
          <w:color w:val="000000"/>
          <w:szCs w:val="32"/>
        </w:rPr>
      </w:pPr>
      <w:bookmarkStart w:id="2" w:name="_GoBack"/>
      <w:r>
        <w:rPr>
          <w:rFonts w:ascii="Times New Roman" w:hAnsi="Times New Roman" w:eastAsia="黑体" w:cs="Times New Roman"/>
          <w:color w:val="000000"/>
          <w:szCs w:val="32"/>
        </w:rPr>
        <w:t>附件</w:t>
      </w:r>
      <w:r>
        <w:rPr>
          <w:rFonts w:hint="eastAsia" w:ascii="Times New Roman" w:hAnsi="Times New Roman" w:eastAsia="黑体" w:cs="Times New Roman"/>
          <w:color w:val="000000"/>
          <w:szCs w:val="32"/>
        </w:rPr>
        <w:t>3</w:t>
      </w:r>
    </w:p>
    <w:bookmarkEnd w:id="2"/>
    <w:p w14:paraId="499366BD">
      <w:pPr>
        <w:spacing w:afterLines="50" w:line="600" w:lineRule="exact"/>
        <w:jc w:val="center"/>
        <w:rPr>
          <w:rFonts w:ascii="Times New Roman" w:hAnsi="Times New Roman" w:eastAsia="方正小标宋简体" w:cs="Times New Roman"/>
          <w:color w:val="000000"/>
          <w:sz w:val="44"/>
          <w:szCs w:val="44"/>
        </w:rPr>
      </w:pPr>
      <w:r>
        <w:rPr>
          <w:rFonts w:ascii="Times New Roman" w:hAnsi="Times New Roman" w:eastAsia="方正小标宋_GBK" w:cs="Times New Roman"/>
          <w:color w:val="000000"/>
          <w:sz w:val="44"/>
          <w:szCs w:val="44"/>
        </w:rPr>
        <w:t>江苏新闻奖（作品</w:t>
      </w:r>
      <w:r>
        <w:rPr>
          <w:rFonts w:hint="eastAsia" w:ascii="Times New Roman" w:hAnsi="Times New Roman" w:eastAsia="方正小标宋_GBK" w:cs="Times New Roman"/>
          <w:color w:val="000000"/>
          <w:sz w:val="44"/>
          <w:szCs w:val="44"/>
        </w:rPr>
        <w:t>类</w:t>
      </w:r>
      <w:r>
        <w:rPr>
          <w:rFonts w:ascii="Times New Roman" w:hAnsi="Times New Roman" w:eastAsia="方正小标宋_GBK" w:cs="Times New Roman"/>
          <w:color w:val="000000"/>
          <w:sz w:val="44"/>
          <w:szCs w:val="44"/>
        </w:rPr>
        <w:t>）参评作品推荐表</w:t>
      </w:r>
    </w:p>
    <w:tbl>
      <w:tblPr>
        <w:tblStyle w:val="6"/>
        <w:tblW w:w="9813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2"/>
        <w:gridCol w:w="512"/>
        <w:gridCol w:w="888"/>
        <w:gridCol w:w="1323"/>
        <w:gridCol w:w="1005"/>
        <w:gridCol w:w="872"/>
        <w:gridCol w:w="947"/>
        <w:gridCol w:w="620"/>
        <w:gridCol w:w="1122"/>
        <w:gridCol w:w="1532"/>
      </w:tblGrid>
      <w:tr w14:paraId="65BFD50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3" w:hRule="exac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52BAB00B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作品</w:t>
            </w:r>
          </w:p>
          <w:p w14:paraId="4DC21D1D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标题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689C336C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  <w:t>丰稔·宿豫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567FCDA3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作品</w:t>
            </w:r>
          </w:p>
          <w:p w14:paraId="74AABC12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年度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7EC155B1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15"/>
              </w:rPr>
              <w:t>2024年度</w:t>
            </w:r>
          </w:p>
        </w:tc>
      </w:tr>
      <w:tr w14:paraId="06CADA1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" w:hRule="exact"/>
          <w:jc w:val="center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 w14:paraId="7ADB90C8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字数</w:t>
            </w:r>
          </w:p>
          <w:p w14:paraId="537F62F8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时长</w:t>
            </w:r>
          </w:p>
        </w:tc>
        <w:tc>
          <w:tcPr>
            <w:tcW w:w="3728" w:type="dxa"/>
            <w:gridSpan w:val="4"/>
            <w:vMerge w:val="restart"/>
            <w:tcBorders>
              <w:tl2br w:val="nil"/>
              <w:tr2bl w:val="nil"/>
            </w:tcBorders>
            <w:vAlign w:val="center"/>
          </w:tcPr>
          <w:p w14:paraId="77C7CA76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15"/>
              </w:rPr>
              <w:t>909，636，1395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FBD044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作品</w:t>
            </w:r>
          </w:p>
          <w:p w14:paraId="2CE83736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类别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DE1DAE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15"/>
              </w:rPr>
              <w:t>新媒体</w:t>
            </w:r>
          </w:p>
        </w:tc>
      </w:tr>
      <w:tr w14:paraId="3669990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  <w:jc w:val="center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 w14:paraId="6ED9F3AC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</w:p>
        </w:tc>
        <w:tc>
          <w:tcPr>
            <w:tcW w:w="3728" w:type="dxa"/>
            <w:gridSpan w:val="4"/>
            <w:vMerge w:val="continue"/>
            <w:tcBorders>
              <w:tl2br w:val="nil"/>
              <w:tr2bl w:val="nil"/>
            </w:tcBorders>
            <w:vAlign w:val="center"/>
          </w:tcPr>
          <w:p w14:paraId="5BAB06D4">
            <w:pPr>
              <w:spacing w:line="380" w:lineRule="exact"/>
              <w:ind w:firstLine="560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8893AA">
            <w:pPr>
              <w:spacing w:line="3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体裁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FA1E1E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深度报道</w:t>
            </w:r>
          </w:p>
        </w:tc>
      </w:tr>
      <w:tr w14:paraId="517527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0FDF654C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  <w:t>作者</w:t>
            </w:r>
          </w:p>
          <w:p w14:paraId="4A6B5397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16"/>
                <w:szCs w:val="16"/>
              </w:rPr>
              <w:t>（主创人员）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17447A70">
            <w:pPr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  <w:t>汪文  黄子轩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2FDD4E39">
            <w:pPr>
              <w:spacing w:line="3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编辑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2301B5A1">
            <w:pPr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  <w:t>李思花  卓紫璇</w:t>
            </w: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 xml:space="preserve">  邵颖</w:t>
            </w:r>
          </w:p>
        </w:tc>
      </w:tr>
      <w:tr w14:paraId="7028B8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2" w:hRule="atLeas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5E4C25AE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原创</w:t>
            </w:r>
          </w:p>
          <w:p w14:paraId="181E9280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单位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1D7186A8">
            <w:pPr>
              <w:spacing w:line="260" w:lineRule="exact"/>
              <w:jc w:val="center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15"/>
              </w:rPr>
              <w:t>宿迁市宿豫区融媒体中心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7B37DB9D">
            <w:pPr>
              <w:spacing w:line="260" w:lineRule="exact"/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36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36"/>
              </w:rPr>
              <w:t>发布端/账号/</w:t>
            </w:r>
          </w:p>
          <w:p w14:paraId="3258F695">
            <w:pPr>
              <w:spacing w:line="260" w:lineRule="exact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40"/>
                <w:highlight w:val="green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36"/>
              </w:rPr>
              <w:t>媒体名称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057663D1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15"/>
              </w:rPr>
              <w:t>豫见精彩APP</w:t>
            </w:r>
          </w:p>
        </w:tc>
      </w:tr>
      <w:tr w14:paraId="1F789E9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exact"/>
          <w:jc w:val="center"/>
        </w:trPr>
        <w:tc>
          <w:tcPr>
            <w:tcW w:w="1504" w:type="dxa"/>
            <w:gridSpan w:val="2"/>
            <w:tcBorders>
              <w:tl2br w:val="nil"/>
              <w:tr2bl w:val="nil"/>
            </w:tcBorders>
            <w:vAlign w:val="center"/>
          </w:tcPr>
          <w:p w14:paraId="7EE87E4B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刊播版面</w:t>
            </w:r>
          </w:p>
          <w:p w14:paraId="7DB82399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23"/>
                <w:sz w:val="24"/>
                <w:szCs w:val="21"/>
              </w:rPr>
              <w:t>（</w:t>
            </w: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23"/>
                <w:sz w:val="22"/>
                <w:szCs w:val="21"/>
              </w:rPr>
              <w:t>名称和版次）</w:t>
            </w:r>
          </w:p>
        </w:tc>
        <w:tc>
          <w:tcPr>
            <w:tcW w:w="3216" w:type="dxa"/>
            <w:gridSpan w:val="3"/>
            <w:tcBorders>
              <w:tl2br w:val="nil"/>
              <w:tr2bl w:val="nil"/>
            </w:tcBorders>
            <w:vAlign w:val="center"/>
          </w:tcPr>
          <w:p w14:paraId="062756DD">
            <w:pPr>
              <w:spacing w:line="260" w:lineRule="exact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</w:p>
        </w:tc>
        <w:tc>
          <w:tcPr>
            <w:tcW w:w="872" w:type="dxa"/>
            <w:tcBorders>
              <w:tl2br w:val="nil"/>
              <w:tr2bl w:val="nil"/>
            </w:tcBorders>
            <w:vAlign w:val="center"/>
          </w:tcPr>
          <w:p w14:paraId="570277F1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发布日期</w:t>
            </w:r>
          </w:p>
        </w:tc>
        <w:tc>
          <w:tcPr>
            <w:tcW w:w="4221" w:type="dxa"/>
            <w:gridSpan w:val="4"/>
            <w:tcBorders>
              <w:tl2br w:val="nil"/>
              <w:tr2bl w:val="nil"/>
            </w:tcBorders>
            <w:vAlign w:val="center"/>
          </w:tcPr>
          <w:p w14:paraId="5579ED8D">
            <w:pPr>
              <w:jc w:val="center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1月30日至12月24日</w:t>
            </w:r>
          </w:p>
        </w:tc>
      </w:tr>
      <w:tr w14:paraId="2F34972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8" w:hRule="atLeast"/>
          <w:jc w:val="center"/>
        </w:trPr>
        <w:tc>
          <w:tcPr>
            <w:tcW w:w="1504" w:type="dxa"/>
            <w:gridSpan w:val="2"/>
            <w:tcBorders>
              <w:tl2br w:val="nil"/>
              <w:tr2bl w:val="nil"/>
            </w:tcBorders>
            <w:vAlign w:val="center"/>
          </w:tcPr>
          <w:p w14:paraId="1AAA807D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21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21"/>
              </w:rPr>
              <w:t>新媒体作品</w:t>
            </w:r>
          </w:p>
          <w:p w14:paraId="4E4AF550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21"/>
              </w:rPr>
              <w:t>链接</w:t>
            </w:r>
          </w:p>
        </w:tc>
        <w:tc>
          <w:tcPr>
            <w:tcW w:w="8309" w:type="dxa"/>
            <w:gridSpan w:val="8"/>
            <w:tcBorders>
              <w:tl2br w:val="nil"/>
              <w:tr2bl w:val="nil"/>
            </w:tcBorders>
            <w:vAlign w:val="center"/>
          </w:tcPr>
          <w:p w14:paraId="4316EB14">
            <w:pP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fldChar w:fldCharType="begin"/>
            </w:r>
            <w:r>
              <w:instrText xml:space="preserve"> HYPERLINK "https://suyu.cm.jstv.com/special/20240126/30444842.html" </w:instrText>
            </w:r>
            <w:r>
              <w:fldChar w:fldCharType="separate"/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  <w:t>https://suyu.cm.jstv.com/special/20240126/30444842.html</w:t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  <w:fldChar w:fldCharType="end"/>
            </w: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首屏</w:t>
            </w:r>
          </w:p>
          <w:p w14:paraId="443040BD">
            <w:pPr>
              <w:spacing w:line="26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  <w:t>https://suyu.cm.jstv.com/news/20240122/30445252.html</w:t>
            </w:r>
          </w:p>
          <w:p w14:paraId="226D9616">
            <w:pPr>
              <w:spacing w:line="26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fldChar w:fldCharType="begin"/>
            </w:r>
            <w:r>
              <w:instrText xml:space="preserve"> HYPERLINK "https://suyu.cm.jstv.com/news/20241118/30444892.html" </w:instrText>
            </w:r>
            <w:r>
              <w:fldChar w:fldCharType="separate"/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</w:rPr>
              <w:t>https://suyu.cm.jstv.com/news/20241118/30444892.html</w:t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</w:rPr>
              <w:fldChar w:fldCharType="end"/>
            </w:r>
          </w:p>
          <w:p w14:paraId="4790C3F3">
            <w:pPr>
              <w:spacing w:line="26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fldChar w:fldCharType="begin"/>
            </w:r>
            <w:r>
              <w:instrText xml:space="preserve"> HYPERLINK "https://suyu.cm.jstv.com/news/20240910/30445033.html" </w:instrText>
            </w:r>
            <w:r>
              <w:fldChar w:fldCharType="separate"/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</w:rPr>
              <w:t>https://suyu.cm.jstv.com/news/20240910/30445033.html</w:t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</w:rPr>
              <w:fldChar w:fldCharType="end"/>
            </w:r>
          </w:p>
          <w:p w14:paraId="188FDDD3">
            <w:pPr>
              <w:spacing w:line="260" w:lineRule="exact"/>
              <w:rPr>
                <w:rFonts w:ascii="宋体" w:hAnsi="宋体" w:cs="宋体"/>
                <w:szCs w:val="21"/>
              </w:rPr>
            </w:pPr>
          </w:p>
        </w:tc>
      </w:tr>
      <w:tr w14:paraId="61B583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80" w:hRule="atLeas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4A168E68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作</w:t>
            </w:r>
          </w:p>
          <w:p w14:paraId="2333C2A7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品</w:t>
            </w:r>
          </w:p>
          <w:p w14:paraId="6494C38E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简</w:t>
            </w:r>
          </w:p>
          <w:p w14:paraId="62CF6FA8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介</w:t>
            </w:r>
          </w:p>
        </w:tc>
        <w:tc>
          <w:tcPr>
            <w:tcW w:w="8821" w:type="dxa"/>
            <w:gridSpan w:val="9"/>
            <w:tcBorders>
              <w:tl2br w:val="nil"/>
              <w:tr2bl w:val="nil"/>
            </w:tcBorders>
            <w:vAlign w:val="center"/>
          </w:tcPr>
          <w:p w14:paraId="0DCE24F4">
            <w:pPr>
              <w:spacing w:line="360" w:lineRule="exact"/>
              <w:ind w:firstLine="480" w:firstLineChars="200"/>
              <w:rPr>
                <w:rFonts w:ascii="Times New Roman" w:hAnsi="Times New Roman" w:eastAsia="方正仿宋_GBK" w:cs="Times New Roman"/>
                <w:color w:val="000000"/>
                <w:w w:val="95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333333"/>
                <w:kern w:val="0"/>
                <w:sz w:val="24"/>
                <w:szCs w:val="24"/>
                <w:u w:color="000000"/>
                <w:shd w:val="clear" w:color="auto" w:fill="FFFFFF"/>
                <w:lang w:bidi="zh-CN"/>
              </w:rPr>
              <w:t>近年来，宿豫全面实施乡村振兴战略，打造“一镇一特，一村一品”特色成果。创作团队聚焦宿豫乡村振兴成果，策划推出</w:t>
            </w:r>
            <w:r>
              <w:rPr>
                <w:rFonts w:hint="eastAsia" w:ascii="微软雅黑" w:hAnsi="微软雅黑" w:eastAsia="微软雅黑" w:cs="微软雅黑"/>
                <w:color w:val="333333"/>
                <w:kern w:val="0"/>
                <w:sz w:val="24"/>
                <w:szCs w:val="24"/>
                <w:u w:color="000000"/>
                <w:shd w:val="clear" w:color="auto" w:fill="FFFFFF"/>
                <w:lang w:bidi="zh-CN"/>
              </w:rPr>
              <w:t>深度</w:t>
            </w:r>
            <w:r>
              <w:rPr>
                <w:rFonts w:ascii="微软雅黑" w:hAnsi="微软雅黑" w:eastAsia="微软雅黑" w:cs="微软雅黑"/>
                <w:color w:val="333333"/>
                <w:kern w:val="0"/>
                <w:sz w:val="24"/>
                <w:szCs w:val="24"/>
                <w:u w:color="000000"/>
                <w:shd w:val="clear" w:color="auto" w:fill="FFFFFF"/>
                <w:lang w:bidi="zh-CN"/>
              </w:rPr>
              <w:t>报道《丰稔·宿豫》。创作组对陆集的芦蒿、新庄的草莓、关庙的猕猴桃、曹集的金银花、大兴的金针菜、来龙的籼米等10个乡镇的特色农产品进行逐一梳理。一年来，组织团队分批拍摄了20余种农产品的丰收丰产，记录了特色产业的发展，以及特色产业为村居和农户带来的可观经济收益。在“豫见精彩”APP发布。</w:t>
            </w:r>
            <w:r>
              <w:rPr>
                <w:rFonts w:hint="eastAsia" w:ascii="微软雅黑" w:hAnsi="微软雅黑" w:eastAsia="微软雅黑" w:cs="微软雅黑"/>
                <w:color w:val="333333"/>
                <w:kern w:val="0"/>
                <w:sz w:val="24"/>
                <w:szCs w:val="24"/>
                <w:u w:color="000000"/>
                <w:shd w:val="clear" w:color="auto" w:fill="FFFFFF"/>
                <w:lang w:bidi="zh-CN"/>
              </w:rPr>
              <w:t>深度</w:t>
            </w:r>
            <w:r>
              <w:rPr>
                <w:rFonts w:ascii="微软雅黑" w:hAnsi="微软雅黑" w:eastAsia="微软雅黑" w:cs="微软雅黑"/>
                <w:color w:val="333333"/>
                <w:kern w:val="0"/>
                <w:sz w:val="24"/>
                <w:szCs w:val="24"/>
                <w:u w:color="000000"/>
                <w:shd w:val="clear" w:color="auto" w:fill="FFFFFF"/>
                <w:lang w:bidi="zh-CN"/>
              </w:rPr>
              <w:t>报道《丰稔·宿豫》推出后，18件作品分别被我苏网采用，多件作品被学习强国江苏省学习平台、学习强国全国平台采用。</w:t>
            </w:r>
          </w:p>
        </w:tc>
      </w:tr>
      <w:tr w14:paraId="3CD335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6" w:hRule="exact"/>
          <w:jc w:val="center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 w14:paraId="04046B95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传</w:t>
            </w:r>
          </w:p>
          <w:p w14:paraId="68D3E8B4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播</w:t>
            </w:r>
          </w:p>
          <w:p w14:paraId="25889921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数</w:t>
            </w:r>
          </w:p>
          <w:p w14:paraId="5C1CB67D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据</w:t>
            </w:r>
          </w:p>
        </w:tc>
        <w:tc>
          <w:tcPr>
            <w:tcW w:w="1400" w:type="dxa"/>
            <w:gridSpan w:val="2"/>
            <w:tcBorders>
              <w:tl2br w:val="nil"/>
              <w:tr2bl w:val="nil"/>
            </w:tcBorders>
            <w:vAlign w:val="center"/>
          </w:tcPr>
          <w:p w14:paraId="3CDF5D1F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4"/>
                <w:szCs w:val="18"/>
              </w:rPr>
            </w:pPr>
            <w:r>
              <w:rPr>
                <w:rFonts w:ascii="Times New Roman" w:hAnsi="Times New Roman" w:eastAsia="华文楷体" w:cs="Times New Roman"/>
                <w:b/>
                <w:bCs/>
                <w:color w:val="000000"/>
                <w:sz w:val="21"/>
                <w:szCs w:val="21"/>
              </w:rPr>
              <w:t>全网传播量最高平台发布链接</w:t>
            </w:r>
          </w:p>
        </w:tc>
        <w:tc>
          <w:tcPr>
            <w:tcW w:w="7421" w:type="dxa"/>
            <w:gridSpan w:val="7"/>
            <w:tcBorders>
              <w:tl2br w:val="nil"/>
              <w:tr2bl w:val="nil"/>
            </w:tcBorders>
            <w:vAlign w:val="center"/>
          </w:tcPr>
          <w:p w14:paraId="213DBAB9">
            <w:pPr>
              <w:spacing w:line="280" w:lineRule="exact"/>
              <w:rPr>
                <w:rFonts w:ascii="Times New Roman" w:hAnsi="Times New Roman" w:eastAsia="方正仿宋_GBK" w:cs="Times New Roman"/>
                <w:color w:val="000000"/>
                <w:spacing w:val="-6"/>
                <w:sz w:val="21"/>
                <w:szCs w:val="21"/>
              </w:rPr>
            </w:pPr>
            <w:r>
              <w:fldChar w:fldCharType="begin"/>
            </w:r>
            <w:r>
              <w:instrText xml:space="preserve"> HYPERLINK "https://suyu.cm.jstv.com/special/20240126/30444842.html" </w:instrText>
            </w:r>
            <w:r>
              <w:fldChar w:fldCharType="separate"/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  <w:t>https://suyu.cm.jstv.com/special/20240126/30444842.html</w:t>
            </w:r>
            <w: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  <w:fldChar w:fldCharType="end"/>
            </w:r>
          </w:p>
        </w:tc>
      </w:tr>
      <w:tr w14:paraId="00CE0A0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  <w:jc w:val="center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 w14:paraId="23DA3347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</w:p>
        </w:tc>
        <w:tc>
          <w:tcPr>
            <w:tcW w:w="1400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3140DF">
            <w:pPr>
              <w:spacing w:line="240" w:lineRule="exact"/>
              <w:jc w:val="center"/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该平台</w:t>
            </w:r>
          </w:p>
          <w:p w14:paraId="2AB76849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传播量</w:t>
            </w:r>
          </w:p>
        </w:tc>
        <w:tc>
          <w:tcPr>
            <w:tcW w:w="132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868186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10159</w:t>
            </w:r>
          </w:p>
        </w:tc>
        <w:tc>
          <w:tcPr>
            <w:tcW w:w="10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7025B2">
            <w:pPr>
              <w:spacing w:line="240" w:lineRule="exact"/>
              <w:jc w:val="center"/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该平台</w:t>
            </w:r>
          </w:p>
          <w:p w14:paraId="0013A005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互动量</w:t>
            </w:r>
          </w:p>
        </w:tc>
        <w:tc>
          <w:tcPr>
            <w:tcW w:w="2439" w:type="dxa"/>
            <w:gridSpan w:val="3"/>
            <w:tcBorders>
              <w:tl2br w:val="nil"/>
              <w:tr2bl w:val="nil"/>
            </w:tcBorders>
            <w:vAlign w:val="center"/>
          </w:tcPr>
          <w:p w14:paraId="652482CB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2771</w:t>
            </w:r>
          </w:p>
        </w:tc>
        <w:tc>
          <w:tcPr>
            <w:tcW w:w="1122" w:type="dxa"/>
            <w:tcBorders>
              <w:tl2br w:val="nil"/>
              <w:tr2bl w:val="nil"/>
            </w:tcBorders>
            <w:vAlign w:val="center"/>
          </w:tcPr>
          <w:p w14:paraId="46B8A168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全网总传播量（万）</w:t>
            </w:r>
          </w:p>
        </w:tc>
        <w:tc>
          <w:tcPr>
            <w:tcW w:w="1532" w:type="dxa"/>
            <w:tcBorders>
              <w:tl2br w:val="nil"/>
              <w:tr2bl w:val="nil"/>
            </w:tcBorders>
            <w:vAlign w:val="center"/>
          </w:tcPr>
          <w:p w14:paraId="4024801A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</w:p>
        </w:tc>
      </w:tr>
      <w:tr w14:paraId="147528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exact"/>
          <w:jc w:val="center"/>
        </w:trPr>
        <w:tc>
          <w:tcPr>
            <w:tcW w:w="1504" w:type="dxa"/>
            <w:gridSpan w:val="2"/>
            <w:tcBorders>
              <w:right w:val="single" w:color="auto" w:sz="4" w:space="0"/>
              <w:tl2br w:val="nil"/>
              <w:tr2bl w:val="nil"/>
            </w:tcBorders>
            <w:vAlign w:val="center"/>
          </w:tcPr>
          <w:p w14:paraId="25D4EE7E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公示链接</w:t>
            </w:r>
          </w:p>
        </w:tc>
        <w:tc>
          <w:tcPr>
            <w:tcW w:w="8309" w:type="dxa"/>
            <w:gridSpan w:val="8"/>
            <w:tcBorders>
              <w:left w:val="single" w:color="auto" w:sz="4" w:space="0"/>
              <w:tl2br w:val="nil"/>
              <w:tr2bl w:val="nil"/>
            </w:tcBorders>
            <w:vAlign w:val="center"/>
          </w:tcPr>
          <w:p w14:paraId="3008BB23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申报单位填写作品公示网址，公示网站应具有新闻信息登载资质。</w:t>
            </w:r>
          </w:p>
        </w:tc>
      </w:tr>
      <w:tr w14:paraId="2B65442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2" w:hRule="exac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55BA1282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 xml:space="preserve">  </w:t>
            </w:r>
          </w:p>
          <w:p w14:paraId="7CF67AD0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推</w:t>
            </w:r>
          </w:p>
          <w:p w14:paraId="50BCF184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荐</w:t>
            </w:r>
          </w:p>
          <w:p w14:paraId="209E3CDE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理</w:t>
            </w:r>
          </w:p>
          <w:p w14:paraId="035369EC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由</w:t>
            </w:r>
          </w:p>
          <w:p w14:paraId="577778A9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 xml:space="preserve">  </w:t>
            </w:r>
          </w:p>
        </w:tc>
        <w:tc>
          <w:tcPr>
            <w:tcW w:w="8821" w:type="dxa"/>
            <w:gridSpan w:val="9"/>
            <w:tcBorders>
              <w:tl2br w:val="nil"/>
              <w:tr2bl w:val="nil"/>
            </w:tcBorders>
            <w:vAlign w:val="center"/>
          </w:tcPr>
          <w:p w14:paraId="0257B546">
            <w:pP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</w:p>
          <w:p w14:paraId="703B8F9C">
            <w:pPr>
              <w:pStyle w:val="9"/>
              <w:spacing w:line="400" w:lineRule="exact"/>
              <w:rPr>
                <w:rFonts w:hint="default" w:ascii="微软雅黑" w:hAnsi="微软雅黑" w:eastAsia="微软雅黑" w:cs="微软雅黑"/>
                <w:color w:val="333333"/>
                <w:shd w:val="clear" w:color="auto" w:fill="FFFFFF"/>
                <w:lang w:val="en-US"/>
              </w:rPr>
            </w:pPr>
            <w:r>
              <w:rPr>
                <w:rFonts w:ascii="微软雅黑" w:hAnsi="微软雅黑" w:eastAsia="微软雅黑" w:cs="微软雅黑"/>
                <w:color w:val="333333"/>
                <w:shd w:val="clear" w:color="auto" w:fill="FFFFFF"/>
                <w:lang w:val="en-US"/>
              </w:rPr>
              <w:t>深度报道围绕乡村振兴主题策划，选材比较丰富，采访生动深入，见人见事，有点有面，以小见大。展现了宿豫全区</w:t>
            </w:r>
            <w:r>
              <w:rPr>
                <w:rFonts w:hint="default" w:ascii="微软雅黑" w:hAnsi="微软雅黑" w:eastAsia="微软雅黑" w:cs="微软雅黑"/>
                <w:color w:val="333333"/>
                <w:shd w:val="clear" w:color="auto" w:fill="FFFFFF"/>
                <w:lang w:val="en-US"/>
              </w:rPr>
              <w:t>“一镇一特，一村一品”特色</w:t>
            </w:r>
            <w:r>
              <w:rPr>
                <w:rFonts w:ascii="微软雅黑" w:hAnsi="微软雅黑" w:eastAsia="微软雅黑" w:cs="微软雅黑"/>
                <w:color w:val="333333"/>
                <w:shd w:val="clear" w:color="auto" w:fill="FFFFFF"/>
                <w:lang w:val="en-US"/>
              </w:rPr>
              <w:t>产业百花齐放。</w:t>
            </w:r>
          </w:p>
          <w:p w14:paraId="49E6632F">
            <w:pPr>
              <w:spacing w:line="440" w:lineRule="exact"/>
              <w:rPr>
                <w:rFonts w:ascii="Times New Roman" w:hAnsi="Times New Roman" w:eastAsia="方正仿宋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pacing w:val="-2"/>
                <w:sz w:val="28"/>
              </w:rPr>
              <w:t xml:space="preserve">                                      签名</w:t>
            </w:r>
            <w:r>
              <w:rPr>
                <w:rFonts w:ascii="Times New Roman" w:hAnsi="Times New Roman" w:eastAsia="方正仿宋_GBK" w:cs="Times New Roman"/>
                <w:color w:val="000000"/>
                <w:sz w:val="28"/>
              </w:rPr>
              <w:t>（盖单位公章）</w:t>
            </w:r>
            <w:r>
              <w:rPr>
                <w:rFonts w:ascii="Times New Roman" w:hAnsi="Times New Roman" w:eastAsia="方正仿宋_GBK" w:cs="Times New Roman"/>
                <w:color w:val="000000"/>
                <w:spacing w:val="-2"/>
                <w:sz w:val="28"/>
              </w:rPr>
              <w:t>：</w:t>
            </w:r>
          </w:p>
          <w:p w14:paraId="10729910">
            <w:pPr>
              <w:spacing w:line="440" w:lineRule="exact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</w:rPr>
              <w:t xml:space="preserve">                                              年  月  日</w:t>
            </w:r>
          </w:p>
        </w:tc>
      </w:tr>
    </w:tbl>
    <w:p w14:paraId="793FDC48">
      <w:pPr>
        <w:tabs>
          <w:tab w:val="right" w:pos="8730"/>
        </w:tabs>
        <w:spacing w:line="580" w:lineRule="exact"/>
        <w:outlineLvl w:val="0"/>
        <w:rPr>
          <w:rFonts w:ascii="Times New Roman" w:hAnsi="Times New Roman" w:eastAsia="黑体" w:cs="Times New Roman"/>
          <w:color w:val="000000"/>
          <w:szCs w:val="32"/>
        </w:rPr>
      </w:pPr>
      <w:r>
        <w:rPr>
          <w:rFonts w:ascii="Times New Roman" w:hAnsi="Times New Roman" w:eastAsia="黑体" w:cs="Times New Roman"/>
          <w:color w:val="000000"/>
          <w:szCs w:val="32"/>
        </w:rPr>
        <w:t>附件</w:t>
      </w:r>
      <w:r>
        <w:rPr>
          <w:rFonts w:hint="eastAsia" w:ascii="Times New Roman" w:hAnsi="Times New Roman" w:eastAsia="黑体" w:cs="Times New Roman"/>
          <w:color w:val="000000"/>
          <w:szCs w:val="32"/>
        </w:rPr>
        <w:t>4</w:t>
      </w:r>
    </w:p>
    <w:p w14:paraId="2903288F">
      <w:pPr>
        <w:spacing w:afterLines="50" w:line="600" w:lineRule="exact"/>
        <w:jc w:val="center"/>
        <w:rPr>
          <w:rFonts w:ascii="Times New Roman" w:hAnsi="Times New Roman" w:eastAsia="方正小标宋_GBK" w:cs="Times New Roman"/>
          <w:color w:val="000000"/>
          <w:sz w:val="44"/>
          <w:szCs w:val="44"/>
        </w:rPr>
      </w:pPr>
      <w:r>
        <w:rPr>
          <w:rFonts w:ascii="Times New Roman" w:hAnsi="Times New Roman" w:eastAsia="方正小标宋_GBK" w:cs="Times New Roman"/>
          <w:color w:val="000000"/>
          <w:sz w:val="44"/>
          <w:szCs w:val="44"/>
        </w:rPr>
        <w:t>江苏新闻奖（作品</w:t>
      </w:r>
      <w:r>
        <w:rPr>
          <w:rFonts w:hint="eastAsia" w:ascii="Times New Roman" w:hAnsi="Times New Roman" w:eastAsia="方正小标宋_GBK" w:cs="Times New Roman"/>
          <w:color w:val="000000"/>
          <w:sz w:val="44"/>
          <w:szCs w:val="44"/>
        </w:rPr>
        <w:t>类</w:t>
      </w:r>
      <w:r>
        <w:rPr>
          <w:rFonts w:ascii="Times New Roman" w:hAnsi="Times New Roman" w:eastAsia="方正小标宋_GBK" w:cs="Times New Roman"/>
          <w:color w:val="000000"/>
          <w:sz w:val="44"/>
          <w:szCs w:val="44"/>
        </w:rPr>
        <w:t>）集纳式作品目录</w:t>
      </w:r>
    </w:p>
    <w:tbl>
      <w:tblPr>
        <w:tblStyle w:val="6"/>
        <w:tblW w:w="9899" w:type="dxa"/>
        <w:jc w:val="center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9"/>
        <w:gridCol w:w="812"/>
        <w:gridCol w:w="2149"/>
        <w:gridCol w:w="1050"/>
        <w:gridCol w:w="1080"/>
        <w:gridCol w:w="1545"/>
        <w:gridCol w:w="1365"/>
        <w:gridCol w:w="1019"/>
      </w:tblGrid>
      <w:tr w14:paraId="7BC4ABBA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exact"/>
          <w:jc w:val="center"/>
        </w:trPr>
        <w:tc>
          <w:tcPr>
            <w:tcW w:w="1691" w:type="dxa"/>
            <w:gridSpan w:val="2"/>
            <w:tcBorders>
              <w:bottom w:val="single" w:color="auto" w:sz="4" w:space="0"/>
            </w:tcBorders>
            <w:vAlign w:val="center"/>
          </w:tcPr>
          <w:p w14:paraId="2C72EFCA">
            <w:pPr>
              <w:snapToGrid w:val="0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作品标题</w:t>
            </w:r>
          </w:p>
        </w:tc>
        <w:tc>
          <w:tcPr>
            <w:tcW w:w="8208" w:type="dxa"/>
            <w:gridSpan w:val="6"/>
            <w:tcBorders>
              <w:bottom w:val="single" w:color="auto" w:sz="4" w:space="0"/>
            </w:tcBorders>
            <w:vAlign w:val="center"/>
          </w:tcPr>
          <w:p w14:paraId="621E8380">
            <w:pPr>
              <w:snapToGrid w:val="0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丰稔·宿豫</w:t>
            </w:r>
          </w:p>
        </w:tc>
      </w:tr>
      <w:tr w14:paraId="775F38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8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1B19F0">
            <w:pPr>
              <w:snapToGrid w:val="0"/>
              <w:spacing w:line="34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序号</w:t>
            </w:r>
          </w:p>
        </w:tc>
        <w:tc>
          <w:tcPr>
            <w:tcW w:w="296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76FE2C">
            <w:pPr>
              <w:snapToGrid w:val="0"/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单篇作品标题</w:t>
            </w:r>
          </w:p>
        </w:tc>
        <w:tc>
          <w:tcPr>
            <w:tcW w:w="10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850B69">
            <w:pPr>
              <w:snapToGrid w:val="0"/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体裁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5ED2C0">
            <w:pPr>
              <w:snapToGrid w:val="0"/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字数/时长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640FB2">
            <w:pPr>
              <w:snapToGrid w:val="0"/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刊播日期</w:t>
            </w:r>
          </w:p>
        </w:tc>
        <w:tc>
          <w:tcPr>
            <w:tcW w:w="13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8A21C9">
            <w:pPr>
              <w:snapToGrid w:val="0"/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发布端/账号/刊播版面</w:t>
            </w:r>
          </w:p>
        </w:tc>
        <w:tc>
          <w:tcPr>
            <w:tcW w:w="101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16D386">
            <w:pPr>
              <w:snapToGrid w:val="0"/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28"/>
              </w:rPr>
              <w:t>备注</w:t>
            </w:r>
          </w:p>
        </w:tc>
      </w:tr>
      <w:tr w14:paraId="33259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9" w:hRule="exact"/>
          <w:jc w:val="center"/>
        </w:trPr>
        <w:tc>
          <w:tcPr>
            <w:tcW w:w="879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18D1913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961" w:type="dxa"/>
            <w:gridSpan w:val="2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 w14:paraId="33395DC2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小芦蒿长成“大产业” 撑起村民“致富梦”</w:t>
            </w:r>
          </w:p>
        </w:tc>
        <w:tc>
          <w:tcPr>
            <w:tcW w:w="1050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 w14:paraId="0178DEB1">
            <w:pPr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bookmarkStart w:id="0" w:name="OLE_LINK7"/>
            <w:bookmarkStart w:id="1" w:name="OLE_LINK6"/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报道</w:t>
            </w:r>
            <w:bookmarkEnd w:id="0"/>
            <w:bookmarkEnd w:id="1"/>
          </w:p>
        </w:tc>
        <w:tc>
          <w:tcPr>
            <w:tcW w:w="1080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 w14:paraId="7B46E7BA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909</w:t>
            </w:r>
          </w:p>
        </w:tc>
        <w:tc>
          <w:tcPr>
            <w:tcW w:w="1545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 w14:paraId="3534A62B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2024.1.30</w:t>
            </w:r>
          </w:p>
        </w:tc>
        <w:tc>
          <w:tcPr>
            <w:tcW w:w="1365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  <w:vAlign w:val="center"/>
          </w:tcPr>
          <w:p w14:paraId="00181FAF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67DFADD0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8"/>
                <w:szCs w:val="28"/>
              </w:rPr>
              <w:t>代表作</w:t>
            </w:r>
          </w:p>
        </w:tc>
      </w:tr>
      <w:tr w14:paraId="30D795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79" w:type="dxa"/>
            <w:tcBorders>
              <w:bottom w:val="single" w:color="auto" w:sz="4" w:space="0"/>
            </w:tcBorders>
            <w:vAlign w:val="center"/>
          </w:tcPr>
          <w:p w14:paraId="43BCD6DD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961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CFB4105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一朵花富了一方民</w:t>
            </w:r>
          </w:p>
        </w:tc>
        <w:tc>
          <w:tcPr>
            <w:tcW w:w="105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4848B3B6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45EDBE1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1523</w:t>
            </w:r>
          </w:p>
        </w:tc>
        <w:tc>
          <w:tcPr>
            <w:tcW w:w="1545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1709DD7C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2024.5.29</w:t>
            </w:r>
          </w:p>
        </w:tc>
        <w:tc>
          <w:tcPr>
            <w:tcW w:w="1365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681687B7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tcBorders>
              <w:bottom w:val="single" w:color="auto" w:sz="4" w:space="0"/>
            </w:tcBorders>
            <w:vAlign w:val="center"/>
          </w:tcPr>
          <w:p w14:paraId="26A6DB5D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31FFE2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7" w:hRule="exact"/>
          <w:jc w:val="center"/>
        </w:trPr>
        <w:tc>
          <w:tcPr>
            <w:tcW w:w="87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CB9ACE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96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2C49814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小葡萄“串”起甜蜜致富路</w:t>
            </w:r>
          </w:p>
        </w:tc>
        <w:tc>
          <w:tcPr>
            <w:tcW w:w="10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7025E0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0850A9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1118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2D4293B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2024.7.22</w:t>
            </w:r>
          </w:p>
        </w:tc>
        <w:tc>
          <w:tcPr>
            <w:tcW w:w="13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0F6C09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7E4B5E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1E6A16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79" w:type="dxa"/>
            <w:tcBorders>
              <w:top w:val="single" w:color="auto" w:sz="4" w:space="0"/>
            </w:tcBorders>
            <w:vAlign w:val="center"/>
          </w:tcPr>
          <w:p w14:paraId="6190C70C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961" w:type="dxa"/>
            <w:gridSpan w:val="2"/>
            <w:tcBorders>
              <w:top w:val="single" w:color="auto" w:sz="4" w:space="0"/>
            </w:tcBorders>
            <w:shd w:val="clear" w:color="auto" w:fill="auto"/>
            <w:vAlign w:val="center"/>
          </w:tcPr>
          <w:p w14:paraId="178D38EB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“金针”变“真金” 这里黄花分外香</w:t>
            </w:r>
          </w:p>
        </w:tc>
        <w:tc>
          <w:tcPr>
            <w:tcW w:w="1050" w:type="dxa"/>
            <w:tcBorders>
              <w:top w:val="single" w:color="auto" w:sz="4" w:space="0"/>
            </w:tcBorders>
            <w:shd w:val="clear" w:color="auto" w:fill="auto"/>
            <w:vAlign w:val="center"/>
          </w:tcPr>
          <w:p w14:paraId="041388E4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tcBorders>
              <w:top w:val="single" w:color="auto" w:sz="4" w:space="0"/>
            </w:tcBorders>
            <w:shd w:val="clear" w:color="auto" w:fill="auto"/>
            <w:vAlign w:val="center"/>
          </w:tcPr>
          <w:p w14:paraId="2363AD2C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801</w:t>
            </w:r>
          </w:p>
        </w:tc>
        <w:tc>
          <w:tcPr>
            <w:tcW w:w="1545" w:type="dxa"/>
            <w:tcBorders>
              <w:top w:val="single" w:color="auto" w:sz="4" w:space="0"/>
            </w:tcBorders>
            <w:shd w:val="clear" w:color="auto" w:fill="auto"/>
            <w:vAlign w:val="center"/>
          </w:tcPr>
          <w:p w14:paraId="6A19602D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2024.7.25</w:t>
            </w:r>
          </w:p>
        </w:tc>
        <w:tc>
          <w:tcPr>
            <w:tcW w:w="1365" w:type="dxa"/>
            <w:tcBorders>
              <w:top w:val="single" w:color="auto" w:sz="4" w:space="0"/>
            </w:tcBorders>
            <w:shd w:val="clear" w:color="auto" w:fill="auto"/>
            <w:vAlign w:val="center"/>
          </w:tcPr>
          <w:p w14:paraId="1F292BB1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tcBorders>
              <w:top w:val="single" w:color="auto" w:sz="4" w:space="0"/>
            </w:tcBorders>
            <w:shd w:val="clear" w:color="auto" w:fill="auto"/>
            <w:vAlign w:val="center"/>
          </w:tcPr>
          <w:p w14:paraId="48919A40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429810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79" w:type="dxa"/>
            <w:vAlign w:val="center"/>
          </w:tcPr>
          <w:p w14:paraId="20CC4C2B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4CA2278F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梨满枝头 “甜蜜产业”铺就乡村振兴致富路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32B4DA26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0EF5F734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959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2AB566B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2024.8.10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FA8AB6E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11D9B5A7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63029B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79" w:type="dxa"/>
            <w:vAlign w:val="center"/>
          </w:tcPr>
          <w:p w14:paraId="6D0E756E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29F4B4FD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“藕”遇丰收 “莲”通乡村振兴致富路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12C0216F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CDBFA75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667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60273D42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2024.8.25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3A754A4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19F88B0D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2611D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79" w:type="dxa"/>
            <w:vAlign w:val="center"/>
          </w:tcPr>
          <w:p w14:paraId="3C8D18B5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557B0B6A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猕猴桃喜获丰收 结出乡村“致富果”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399ED528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870617B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1048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646D13F0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2024.9.6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65FB1A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7C613F55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629BEA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4" w:hRule="exact"/>
          <w:jc w:val="center"/>
        </w:trPr>
        <w:tc>
          <w:tcPr>
            <w:tcW w:w="879" w:type="dxa"/>
            <w:vAlign w:val="center"/>
          </w:tcPr>
          <w:p w14:paraId="21859481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38EE439B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芡实丰收忙 水中喜捞“金豆子”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2B3BA105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0AB1244B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636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3A76483F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2024.9.10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73352FC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592D0619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8"/>
                <w:szCs w:val="28"/>
              </w:rPr>
              <w:t>代表作</w:t>
            </w:r>
          </w:p>
        </w:tc>
      </w:tr>
      <w:tr w14:paraId="0B2866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79" w:type="dxa"/>
            <w:vAlign w:val="center"/>
          </w:tcPr>
          <w:p w14:paraId="05F3C418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3AF2F23F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雪桃喜获丰收 铺就“甜蜜”致富路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0164AA4B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42D350E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780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9E7E622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2024.10.19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E97659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19C4571E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6DADD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79" w:type="dxa"/>
            <w:vAlign w:val="center"/>
          </w:tcPr>
          <w:p w14:paraId="7669C6D9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3734B325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水芹飘香 “芹”劳致富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3F22BC73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0FDB036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1117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17C1BC9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2024.11.5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2828805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vAlign w:val="center"/>
          </w:tcPr>
          <w:p w14:paraId="13529937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3168B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4" w:hRule="exact"/>
          <w:jc w:val="center"/>
        </w:trPr>
        <w:tc>
          <w:tcPr>
            <w:tcW w:w="879" w:type="dxa"/>
            <w:vAlign w:val="center"/>
          </w:tcPr>
          <w:p w14:paraId="52E0B35D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533A5173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小瓜蒌长成“金疙瘩”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24A6335A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9338213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1395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7D9F490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2024.11.18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8EBBD23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42C583A8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8"/>
                <w:szCs w:val="28"/>
              </w:rPr>
              <w:t>代表作</w:t>
            </w:r>
          </w:p>
        </w:tc>
      </w:tr>
      <w:tr w14:paraId="502A8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4" w:hRule="exact"/>
          <w:jc w:val="center"/>
        </w:trPr>
        <w:tc>
          <w:tcPr>
            <w:tcW w:w="879" w:type="dxa"/>
            <w:vAlign w:val="center"/>
          </w:tcPr>
          <w:p w14:paraId="03DC94CE">
            <w:pPr>
              <w:snapToGrid w:val="0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2961" w:type="dxa"/>
            <w:gridSpan w:val="2"/>
            <w:shd w:val="clear" w:color="auto" w:fill="auto"/>
            <w:vAlign w:val="center"/>
          </w:tcPr>
          <w:p w14:paraId="4F471F4C">
            <w:pPr>
              <w:jc w:val="left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ascii="Tahoma" w:hAnsi="Tahoma" w:eastAsia="Tahoma" w:cs="Tahoma"/>
                <w:color w:val="000000"/>
                <w:sz w:val="19"/>
                <w:szCs w:val="19"/>
                <w:shd w:val="clear" w:color="auto" w:fill="F8F9FA"/>
              </w:rPr>
              <w:t>小草莓变身“致富果” 开启“莓”好生活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2D895EDA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cs="Tahoma" w:asciiTheme="minorEastAsia" w:hAnsiTheme="minorEastAsia" w:eastAsiaTheme="minorEastAsia"/>
                <w:color w:val="000000"/>
                <w:sz w:val="19"/>
                <w:szCs w:val="19"/>
                <w:shd w:val="clear" w:color="auto" w:fill="F8F9FA"/>
              </w:rPr>
              <w:t>深度</w:t>
            </w:r>
            <w:r>
              <w:rPr>
                <w:rFonts w:hint="eastAsia" w:ascii="宋体" w:hAnsi="宋体" w:eastAsia="宋体" w:cs="宋体"/>
                <w:color w:val="000000"/>
                <w:sz w:val="19"/>
                <w:szCs w:val="19"/>
                <w:shd w:val="clear" w:color="auto" w:fill="F8F9FA"/>
              </w:rPr>
              <w:t>报道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11639A80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1330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32F28CB0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2024.12.24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C12FCB4">
            <w:pPr>
              <w:jc w:val="center"/>
              <w:rPr>
                <w:rFonts w:ascii="Times New Roman" w:hAnsi="Times New Roman" w:eastAsia="方正仿宋_GBK" w:cs="Times New Roman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Times New Roman"/>
                <w:kern w:val="0"/>
                <w:sz w:val="28"/>
                <w:szCs w:val="28"/>
              </w:rPr>
              <w:t>豫见精彩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21EDA17E">
            <w:pPr>
              <w:snapToGrid w:val="0"/>
              <w:rPr>
                <w:rFonts w:ascii="Times New Roman" w:hAnsi="Times New Roman" w:eastAsia="方正仿宋_GBK" w:cs="Times New Roman"/>
                <w:color w:val="000000"/>
                <w:sz w:val="28"/>
                <w:szCs w:val="28"/>
              </w:rPr>
            </w:pPr>
          </w:p>
        </w:tc>
      </w:tr>
      <w:tr w14:paraId="4B82FC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  <w:jc w:val="center"/>
        </w:trPr>
        <w:tc>
          <w:tcPr>
            <w:tcW w:w="9899" w:type="dxa"/>
            <w:gridSpan w:val="8"/>
            <w:tcBorders>
              <w:left w:val="nil"/>
              <w:bottom w:val="nil"/>
              <w:right w:val="nil"/>
            </w:tcBorders>
            <w:vAlign w:val="center"/>
          </w:tcPr>
          <w:p w14:paraId="2A22E9C1">
            <w:pPr>
              <w:spacing w:line="360" w:lineRule="exact"/>
              <w:rPr>
                <w:rFonts w:ascii="Times New Roman" w:hAnsi="Times New Roman" w:eastAsia="方正楷体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楷体_GBK" w:cs="Times New Roman"/>
                <w:color w:val="000000"/>
                <w:sz w:val="28"/>
              </w:rPr>
              <w:t>1.选择集纳式作品中的12件单篇作品填报（少于12篇的填报全部作品），附在参评推荐表后。</w:t>
            </w:r>
          </w:p>
          <w:p w14:paraId="5A01FF6B">
            <w:pPr>
              <w:spacing w:line="360" w:lineRule="exact"/>
              <w:rPr>
                <w:rFonts w:ascii="Times New Roman" w:hAnsi="Times New Roman" w:eastAsia="方正楷体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楷体_GBK" w:cs="Times New Roman"/>
                <w:color w:val="000000"/>
                <w:sz w:val="28"/>
              </w:rPr>
              <w:t>2.须选择3篇代表作，并在“备注”栏内注明“代表作”字样。</w:t>
            </w:r>
          </w:p>
          <w:p w14:paraId="4AE3E777">
            <w:pPr>
              <w:spacing w:line="360" w:lineRule="exact"/>
              <w:rPr>
                <w:rFonts w:ascii="Times New Roman" w:hAnsi="Times New Roman" w:eastAsia="方正楷体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楷体_GBK" w:cs="Times New Roman"/>
                <w:color w:val="000000"/>
                <w:sz w:val="28"/>
              </w:rPr>
              <w:t>3.填报作品按发表时间排序。</w:t>
            </w:r>
          </w:p>
          <w:p w14:paraId="24BD33EC">
            <w:pPr>
              <w:spacing w:line="360" w:lineRule="exact"/>
              <w:rPr>
                <w:rFonts w:ascii="Times New Roman" w:hAnsi="Times New Roman" w:eastAsia="方正楷体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楷体_GBK" w:cs="Times New Roman"/>
                <w:color w:val="000000"/>
                <w:sz w:val="28"/>
              </w:rPr>
              <w:t>4.文字内容填报字数，音视频内容填报时长。</w:t>
            </w:r>
          </w:p>
          <w:p w14:paraId="4C3A5967">
            <w:pPr>
              <w:spacing w:line="360" w:lineRule="exact"/>
              <w:rPr>
                <w:rFonts w:ascii="Times New Roman" w:hAnsi="Times New Roman" w:eastAsia="楷体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楷体_GBK" w:cs="Times New Roman"/>
                <w:color w:val="000000"/>
                <w:sz w:val="28"/>
              </w:rPr>
              <w:t>5.广播、电视、</w:t>
            </w:r>
            <w:r>
              <w:rPr>
                <w:rFonts w:hint="eastAsia" w:ascii="Times New Roman" w:hAnsi="Times New Roman" w:eastAsia="方正楷体_GBK" w:cs="Times New Roman"/>
                <w:color w:val="000000"/>
                <w:sz w:val="28"/>
              </w:rPr>
              <w:t>期刊、</w:t>
            </w:r>
            <w:r>
              <w:rPr>
                <w:rFonts w:ascii="Times New Roman" w:hAnsi="Times New Roman" w:eastAsia="方正楷体_GBK" w:cs="Times New Roman"/>
                <w:color w:val="000000"/>
                <w:sz w:val="28"/>
              </w:rPr>
              <w:t>新媒体作品在“刊播日期”栏内填报刊播日期及时间；在“刊播版面”栏内填报作品刊播频道、频率、账号和栏目名称。</w:t>
            </w:r>
          </w:p>
        </w:tc>
      </w:tr>
    </w:tbl>
    <w:p w14:paraId="6B47F6FD">
      <w:pPr>
        <w:pStyle w:val="5"/>
        <w:widowControl/>
        <w:spacing w:beforeAutospacing="0" w:after="150" w:afterAutospacing="0" w:line="368" w:lineRule="atLeast"/>
        <w:ind w:firstLine="420"/>
        <w:jc w:val="center"/>
        <w:rPr>
          <w:rFonts w:ascii="Times New Roman" w:hAnsi="Times New Roman" w:eastAsia="方正仿宋_GBK"/>
          <w:sz w:val="28"/>
          <w:szCs w:val="28"/>
        </w:rPr>
      </w:pPr>
      <w:r>
        <w:rPr>
          <w:rFonts w:ascii="Times New Roman" w:hAnsi="Times New Roman" w:eastAsia="方正仿宋_GBK"/>
          <w:sz w:val="28"/>
          <w:szCs w:val="28"/>
        </w:rPr>
        <w:drawing>
          <wp:inline distT="0" distB="0" distL="114300" distR="114300">
            <wp:extent cx="2438400" cy="2438400"/>
            <wp:effectExtent l="0" t="0" r="0" b="0"/>
            <wp:docPr id="5" name="图片 5" descr="丰稔·宿豫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丰稔·宿豫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A8671">
      <w:pPr>
        <w:pStyle w:val="5"/>
        <w:widowControl/>
        <w:spacing w:beforeAutospacing="0" w:after="150" w:afterAutospacing="0" w:line="368" w:lineRule="atLeast"/>
        <w:ind w:firstLine="420"/>
        <w:jc w:val="center"/>
        <w:rPr>
          <w:rFonts w:ascii="Times New Roman" w:hAnsi="Times New Roman" w:eastAsia="方正仿宋_GBK"/>
          <w:color w:val="000000"/>
          <w:sz w:val="21"/>
          <w:szCs w:val="15"/>
        </w:rPr>
      </w:pPr>
      <w:r>
        <w:rPr>
          <w:rFonts w:hint="eastAsia" w:ascii="Times New Roman" w:hAnsi="Times New Roman" w:eastAsia="方正仿宋_GBK"/>
          <w:sz w:val="28"/>
          <w:szCs w:val="28"/>
        </w:rPr>
        <w:t>《</w:t>
      </w:r>
      <w:r>
        <w:rPr>
          <w:rFonts w:ascii="Times New Roman" w:hAnsi="Times New Roman" w:eastAsia="方正仿宋_GBK"/>
          <w:color w:val="000000"/>
          <w:sz w:val="21"/>
          <w:szCs w:val="15"/>
        </w:rPr>
        <w:t>丰稔·宿豫</w:t>
      </w:r>
      <w:r>
        <w:rPr>
          <w:rFonts w:hint="eastAsia" w:ascii="Times New Roman" w:hAnsi="Times New Roman" w:eastAsia="方正仿宋_GBK"/>
          <w:sz w:val="28"/>
          <w:szCs w:val="28"/>
        </w:rPr>
        <w:t>》</w:t>
      </w:r>
      <w:r>
        <w:rPr>
          <w:rFonts w:hint="eastAsia" w:ascii="Times New Roman" w:hAnsi="Times New Roman" w:eastAsia="方正仿宋_GBK"/>
          <w:color w:val="000000"/>
          <w:sz w:val="21"/>
          <w:szCs w:val="15"/>
        </w:rPr>
        <w:t>深度报道链接</w:t>
      </w:r>
    </w:p>
    <w:p w14:paraId="0B91A079">
      <w:pPr>
        <w:pStyle w:val="5"/>
        <w:widowControl/>
        <w:spacing w:beforeAutospacing="0" w:after="150" w:afterAutospacing="0" w:line="368" w:lineRule="atLeast"/>
        <w:ind w:firstLine="420"/>
        <w:jc w:val="center"/>
        <w:rPr>
          <w:rFonts w:ascii="Times New Roman" w:hAnsi="Times New Roman" w:eastAsia="方正仿宋_GBK"/>
          <w:sz w:val="28"/>
          <w:szCs w:val="28"/>
        </w:rPr>
      </w:pPr>
      <w:r>
        <w:rPr>
          <w:rFonts w:ascii="Times New Roman" w:hAnsi="Times New Roman" w:eastAsia="方正仿宋_GBK"/>
          <w:sz w:val="28"/>
          <w:szCs w:val="28"/>
        </w:rPr>
        <w:drawing>
          <wp:inline distT="0" distB="0" distL="0" distR="0">
            <wp:extent cx="4095750" cy="8863330"/>
            <wp:effectExtent l="0" t="0" r="0" b="13970"/>
            <wp:docPr id="14" name="图片 13" descr="丰稔•宿豫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丰稔•宿豫.jp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4F3DD">
      <w:pPr>
        <w:pStyle w:val="5"/>
        <w:widowControl/>
        <w:spacing w:beforeAutospacing="0" w:after="150" w:afterAutospacing="0" w:line="368" w:lineRule="atLeast"/>
        <w:ind w:firstLine="420"/>
        <w:jc w:val="center"/>
        <w:rPr>
          <w:rFonts w:ascii="黑体" w:hAnsi="黑体" w:eastAsia="黑体" w:cs="黑体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</w:rPr>
        <w:drawing>
          <wp:inline distT="0" distB="0" distL="114300" distR="114300">
            <wp:extent cx="1995170" cy="8822690"/>
            <wp:effectExtent l="0" t="0" r="5080" b="16510"/>
            <wp:docPr id="3" name="图片 3" descr="87fba7bcb0f5bbf3a8be0ecdfde0c8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7fba7bcb0f5bbf3a8be0ecdfde0c8b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5170" cy="882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color w:val="000000"/>
          <w:sz w:val="32"/>
          <w:szCs w:val="32"/>
        </w:rPr>
        <w:drawing>
          <wp:inline distT="0" distB="0" distL="114300" distR="114300">
            <wp:extent cx="1871345" cy="8860155"/>
            <wp:effectExtent l="0" t="0" r="14605" b="17145"/>
            <wp:docPr id="2" name="图片 2" descr="c3e37c665d4033bdc82b605e0d4ad8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3e37c665d4033bdc82b605e0d4ad86a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886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方正仿宋_GBK"/>
          <w:sz w:val="28"/>
          <w:szCs w:val="28"/>
        </w:rPr>
        <w:drawing>
          <wp:inline distT="0" distB="0" distL="114300" distR="114300">
            <wp:extent cx="1492250" cy="8783320"/>
            <wp:effectExtent l="0" t="0" r="12700" b="17780"/>
            <wp:docPr id="1" name="图片 1" descr="0bec88a81c79823cb27b6016f8c75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bec88a81c79823cb27b6016f8c7572b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53094">
      <w:pPr>
        <w:pStyle w:val="5"/>
        <w:widowControl/>
        <w:spacing w:beforeAutospacing="0" w:after="150" w:afterAutospacing="0" w:line="368" w:lineRule="atLeast"/>
        <w:ind w:firstLine="420"/>
        <w:jc w:val="center"/>
        <w:rPr>
          <w:rFonts w:ascii="黑体" w:hAnsi="黑体" w:eastAsia="黑体" w:cs="黑体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</w:rPr>
        <w:t>小芦蒿长成“大产业”撑起村民“致富梦”</w:t>
      </w:r>
    </w:p>
    <w:p w14:paraId="300A0D60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一月芦，二月蒿，新春到了吃芦蒿。</w:t>
      </w:r>
    </w:p>
    <w:p w14:paraId="73632E79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走进宿迁市宿豫区陆集街道利民社区芦蒿基地，从空中俯瞰，一排排连栋大棚整齐排列。</w:t>
      </w:r>
    </w:p>
    <w:p w14:paraId="6DFBB975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芦蒿基地大棚外层是高效钢架大棚，内层是老百姓盖的二道小棚，保暖性更加好，更有利于芦蒿生长。棚内温暖如春，绿意盎然，芦蒿青翠欲滴，散发出醉人的清香。</w:t>
      </w:r>
    </w:p>
    <w:p w14:paraId="49C52803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目前，芦蒿已大量上市。在芦蒿大棚内，种植户陆水和工人们分工合作，一片繁忙景象。陆水负责割芦蒿，工人们再将这些新收下来的芦蒿进行处理，只见他们用手轻轻一捋，然后将老根掐掉，芦蒿的叶和茎就顺利分离了，一气呵成，动作流畅，不一会儿，每名工人面前都摞满了收拾好的芦蒿。</w:t>
      </w:r>
    </w:p>
    <w:p w14:paraId="53E33A1F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附近村民陆祁华每天早上6点就来到了芦蒿基地，开始一天的忙碌。陆祁华说：“每天在家也没事做，出来做点事，赚点零用钱贴补家用，手快点，一天能赚100块钱呢，像我这年龄也没法外出打工，在家门口做事挺方便的。”</w:t>
      </w:r>
    </w:p>
    <w:p w14:paraId="2627E08F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种植户陆水在老种植户的带领下，第一年尝试种植20亩地芦蒿，今年整体效益达到预期。陆水说：“每天能出500斤-600斤左右芦蒿，目前批发价是每斤7、8块钱，每亩地能赚6000元-7000元，除掉成本，每年纯利润能达到12万元左右。从现在开始，一直能收到五月份呢，正常能带动周边10来个人家门口就业。明年，我还打算再扩种点，经济效益挺好的。”</w:t>
      </w:r>
    </w:p>
    <w:p w14:paraId="27FCC529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近年来，利民社区持续做大做强芦蒿产业，共有6000亩的芦蒿核心种植区。同时，社区坚持把群众创业就业作为增收致富关键抓手，采取“合作社+农户”“大户+农户”“大户+低收入户”等方式，动员引导党员群众参与高效农业种植和家门口就业，社区现有芦蒿种植户800余户，从业人员2000余人，亩均效益1.3万余元。2019年，“利民芦蒿”被评为国家农产品地理标志登记保护产品，名声在外，远销多地。</w:t>
      </w:r>
    </w:p>
    <w:p w14:paraId="137B895C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ascii="Calibri" w:hAnsi="Calibri" w:eastAsia="宋体"/>
          <w:color w:val="000000"/>
          <w:sz w:val="25"/>
          <w:szCs w:val="25"/>
        </w:rPr>
        <w:t>利民社区党委委员徐其元说：“我们在芦蒿上市之前，就已经提前跑市场，打通销路。目前，芦蒿不光供应本地市场，也同时销往江苏淮安、常州，上海，浙江杭州，安徽淮南、淮北、蚌埠，湖北武汉，江西南昌等地，目前我们的任务不仅是要管理带领好农户种植芦蒿，更重要的是要把农户的芦蒿销售出去。面对芦蒿面积逐年扩大的情况，利民社区及合作社谋划在前，规划好发展路线，大家共同努力。我们相信，美‘蒿’利民的明天一定会越来越好！”</w:t>
      </w:r>
    </w:p>
    <w:p w14:paraId="5E1909BF">
      <w:pPr>
        <w:pStyle w:val="5"/>
        <w:widowControl/>
        <w:spacing w:beforeAutospacing="0" w:afterAutospacing="0" w:line="400" w:lineRule="exact"/>
        <w:ind w:firstLine="420"/>
        <w:jc w:val="both"/>
        <w:rPr>
          <w:color w:val="000000"/>
          <w:sz w:val="25"/>
          <w:szCs w:val="25"/>
        </w:rPr>
      </w:pPr>
    </w:p>
    <w:p w14:paraId="4CE4C5E0">
      <w:pPr>
        <w:pStyle w:val="5"/>
        <w:widowControl/>
        <w:spacing w:before="0" w:beforeAutospacing="0" w:after="150" w:afterAutospacing="0" w:line="368" w:lineRule="atLeast"/>
        <w:ind w:firstLine="420"/>
        <w:jc w:val="center"/>
        <w:rPr>
          <w:rFonts w:ascii="黑体" w:hAnsi="黑体" w:eastAsia="黑体" w:cs="黑体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</w:rPr>
        <w:t>芡实丰收忙 水中喜捞“金豆子”</w:t>
      </w:r>
    </w:p>
    <w:p w14:paraId="36929C03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秋风起，芡实香。宿迁市宿豫区仰化镇芡实种植基地一派繁忙的景象，作为水八仙之一的芡实进入采摘期。</w:t>
      </w:r>
    </w:p>
    <w:p w14:paraId="54D8AC55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芡实俗称鸡头米，是睡莲科植物芡的种子，果实具有益肾补脾的药用价值，被誉为“水中人参”。</w:t>
      </w:r>
    </w:p>
    <w:p w14:paraId="7C7427B4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大如圆盖的芡实叶子，层层叠叠地布满了整个水面，20余名采摘工人穿梭其中，采割芡实。</w:t>
      </w:r>
    </w:p>
    <w:p w14:paraId="23433075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只见村民潘为华快速地从水中捞出芡实，熟练地用竹刀割断底部，形状如鸡头的芡实就被收割上来了，整个过程干净利落。潘为华说：“我们每天早上6点就开始采摘了，一天能采200斤，可赚160元。”</w:t>
      </w:r>
    </w:p>
    <w:p w14:paraId="005AD8B2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潘为华一边忙碌，一边分享采摘经验：“芡实成熟要看手感和颜色，它达到一定成熟，里面的果实是灰紫色的，不是粉红色，差不多达到八成熟，这样的鸡头米质量比较好。采鸡头米要用竹刀，采摘上来后在底部挖一个漩涡，底部不能让它进水，如果进水了，鸡头米就烂了。”</w:t>
      </w:r>
    </w:p>
    <w:p w14:paraId="4F1841EA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由于气候原因，今年芡实成熟比往年较晚，9月份正式进入采摘期，可连续采摘7茬左右，预计11月份采摘结束。</w:t>
      </w:r>
    </w:p>
    <w:p w14:paraId="289F2B63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种植户蔡雨说：“我今年种植芡实600多亩，每亩地能收100多斤，亩产效益4000多元。通过线上、线下两种方式销售，主要销往福建、广东、苏州等地。芡实采摘和加工，总共用工人数50人左右，后期高峰期可能还需要增加人员。”</w:t>
      </w:r>
    </w:p>
    <w:p w14:paraId="669EA157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仰化镇农村工作办公室主任叶梦宇说：“仰化镇毗邻大运河，水资源丰富，非常适合种植芡实。在2023年，我们立足实际，因地制宜，大力推广芡实产业，助力增加村集体经济收入，还能够带动当地村民就业，在高峰期用工100人左右。目前，仰化镇芡实产业规模已近千亩，接下来，我们计划扩大规模，把芡实产业进一步做大做强。”</w:t>
      </w:r>
    </w:p>
    <w:p w14:paraId="1DD3A2AC">
      <w:pPr>
        <w:spacing w:line="500" w:lineRule="exact"/>
        <w:rPr>
          <w:rFonts w:ascii="宋体" w:hAnsi="宋体" w:cs="宋体"/>
          <w:color w:val="000000"/>
          <w:sz w:val="28"/>
          <w:szCs w:val="28"/>
          <w:shd w:val="clear" w:color="auto" w:fill="F8F9FA"/>
        </w:rPr>
      </w:pPr>
    </w:p>
    <w:p w14:paraId="115954E5">
      <w:pPr>
        <w:pStyle w:val="5"/>
        <w:widowControl/>
        <w:spacing w:before="0" w:beforeAutospacing="0" w:after="150" w:afterAutospacing="0" w:line="368" w:lineRule="atLeast"/>
        <w:ind w:firstLine="420"/>
        <w:jc w:val="center"/>
        <w:rPr>
          <w:rFonts w:ascii="黑体" w:hAnsi="黑体" w:eastAsia="黑体" w:cs="黑体"/>
          <w:sz w:val="36"/>
          <w:szCs w:val="36"/>
        </w:rPr>
      </w:pPr>
    </w:p>
    <w:p w14:paraId="6C336C22">
      <w:pPr>
        <w:pStyle w:val="5"/>
        <w:widowControl/>
        <w:spacing w:before="0" w:beforeAutospacing="0" w:after="150" w:afterAutospacing="0" w:line="368" w:lineRule="atLeast"/>
        <w:ind w:firstLine="420"/>
        <w:jc w:val="center"/>
        <w:rPr>
          <w:rFonts w:ascii="黑体" w:hAnsi="黑体" w:eastAsia="黑体" w:cs="黑体"/>
          <w:sz w:val="36"/>
          <w:szCs w:val="36"/>
        </w:rPr>
      </w:pPr>
    </w:p>
    <w:p w14:paraId="6F2E2A14">
      <w:pPr>
        <w:pStyle w:val="5"/>
        <w:widowControl/>
        <w:spacing w:before="0" w:beforeAutospacing="0" w:after="150" w:afterAutospacing="0" w:line="368" w:lineRule="atLeast"/>
        <w:ind w:firstLine="420"/>
        <w:jc w:val="center"/>
        <w:rPr>
          <w:rFonts w:ascii="黑体" w:hAnsi="黑体" w:eastAsia="黑体" w:cs="黑体"/>
          <w:sz w:val="36"/>
          <w:szCs w:val="36"/>
        </w:rPr>
      </w:pPr>
      <w:r>
        <w:rPr>
          <w:rFonts w:hint="eastAsia" w:ascii="黑体" w:hAnsi="黑体" w:eastAsia="黑体" w:cs="黑体"/>
          <w:sz w:val="36"/>
          <w:szCs w:val="36"/>
        </w:rPr>
        <w:t>小瓜蒌长成“金疙瘩”</w:t>
      </w:r>
    </w:p>
    <w:p w14:paraId="25C36BEB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瓜蒌熟，采摘忙。时下正值瓜蒌成熟收获季节，在宿迁市宿豫区大兴镇瓜蒌种植基地，一个个瓜蒌圆润饱满，有的墨绿、有的金黄，密密麻麻地悬于藤蔓之下，如一盏盏黄绿相间的彩灯。</w:t>
      </w:r>
    </w:p>
    <w:p w14:paraId="187C5044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瓜架下，几名村民来回穿梭，精心挑选成熟的瓜蒌，脸上洋溢着丰收的喜悦。</w:t>
      </w:r>
    </w:p>
    <w:p w14:paraId="79034640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村民费宗兰娴熟地用手扒出瓜蒌籽，放在身边的桶里。费宗兰说：“像这个黄的就能采了，我从早上六点半干到下午五点，一天能采20多桶，每天能赚70元。根子也能卖，平时还要洗根、切根，活还挺多的。”</w:t>
      </w:r>
    </w:p>
    <w:p w14:paraId="7D053695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瓜蒌成熟于11月份，一直能采摘到12月底。种植户陆双种植瓜蒌已经两年了，种植面积100多亩，在他的精心管护下，今年瓜蒌长势非常喜人。</w:t>
      </w:r>
    </w:p>
    <w:p w14:paraId="3C719C87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陆双说：“瓜蒌全身都是宝，根、皮、籽都可以入药。今年瓜蒌产量还可以，籽亩产量200多斤，今年单价25元每斤，每亩收益在5000元至6000元；皮亩产量200多斤，单价5元至6元，每亩收益1000多元；根亩产量2000斤，2.6元至2.8元每斤，亩效益5000元左右。”</w:t>
      </w:r>
    </w:p>
    <w:p w14:paraId="253325E2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据了解，瓜蒌又名药瓜、栝楼、吊瓜等，瓜蒌具有很高的食用和药用价值，瓜蒌籽是备受消费者青睐的绿色休闲食品。</w:t>
      </w:r>
    </w:p>
    <w:p w14:paraId="598288DF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陆双说：“瓜蒌种植需要精心管理，现在成熟期，每天需要十几个工人，掏籽、洗籽、晒籽，籽这两年很受欢迎，主要用于食用。收获的籽一部分送到附近的加工厂，还有一部分是客商上门收购。如果有空闲的地，我还想再种100亩，毕竟瓜蒌效益还可以。”</w:t>
      </w:r>
    </w:p>
    <w:p w14:paraId="1F205C10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在宿迁市兴呱呱瓜子有限公司的加工车间里，记者看到，炒制师傅忙着将晒干的瓜蒌籽倒入炒货机进行炒制，根据口味加入适量的盐、糖、香料等调味料与瓜蒌籽混合，香气瞬间扑鼻而来。</w:t>
      </w:r>
    </w:p>
    <w:p w14:paraId="22C84447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炒制师傅陈继运说：“我主要负责炒制，要掌握好火候和方法，瓜蒌籽的大小不一样，炒制的时间和火候也不一样。我在这已经干了五年了，每月工资3000多块钱，离家还近。”</w:t>
      </w:r>
    </w:p>
    <w:p w14:paraId="04C8ABE2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宿迁市兴呱呱瓜子有限公司厂长张特笠说：“现在是瓜蒌收获的季节，每天会有周边几个村的村民，把收获的瓜蒌籽送到我们收购点，我们会根据不同的品种、不同的大小进行分级，再进行筛选，在筛选完成后进行入库，然后炒制、加工，做成不同的包装，有礼盒精品包装，还有袋装。”</w:t>
      </w:r>
    </w:p>
    <w:p w14:paraId="75536F85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据了解，宿迁市兴呱呱瓜子有限公司坐落在大兴镇，是一家从事瓜蒌深加工的企业。公司不仅注册了兴呱呱品牌，而且实行线上线下同步销售，年销售瓜蒌籽100多吨，销售额达1000余万元。</w:t>
      </w:r>
    </w:p>
    <w:p w14:paraId="0C8A598D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张特笠说：“我们的瓜蒌籽主要销往大市场、超市、特产店等，还有直播带货，我们有自己的主播。瓜蒌籽主要有原味、奶油、话梅、椒盐等口味，目前比较受欢迎的是原味和奶油。”</w:t>
      </w:r>
    </w:p>
    <w:p w14:paraId="79D620B0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乡村要振兴，产业是关键。近年来，大兴镇将瓜蒌种植作为重点发展的农业主导产业，种植总面积8000余亩，平均亩产280斤，生籽主要由安徽、嘉兴、常州等收购商到地头收购，同时宿迁市兴呱呱瓜子有限公司兜底收购；熟籽销售采用线上线下相结合方式。</w:t>
      </w:r>
    </w:p>
    <w:p w14:paraId="3556A3EA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吉庆社区、双茶棚村、兴南村、六塘河村4个村，每个村种植瓜蒌面积不低于100亩，每年村集体增收不低于10万元。同时，由怀仑村、先锋村、六塘河村、兴南村、双茶棚村5个村入股扶贫资金300万元到宿迁市兴呱呱瓜子有限公司，每年分红不低于5万元。全镇瓜蒌种植户40余户，带动就业1000余人，每年人均收入不低于8000元。</w:t>
      </w:r>
    </w:p>
    <w:p w14:paraId="37D81FB7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  <w:r>
        <w:rPr>
          <w:rFonts w:hint="eastAsia" w:ascii="Calibri" w:hAnsi="Calibri" w:eastAsia="宋体"/>
          <w:color w:val="000000"/>
          <w:sz w:val="25"/>
          <w:szCs w:val="25"/>
        </w:rPr>
        <w:t>下一步，大兴镇将继续大力发展瓜蒌产业，与江苏省农科院深度合作，建设瓜蒌组培中心，实现种苗供应自主化；建设瓜蒌深加工厂房，将大兴镇打造成为全国瓜蒌集散中心；同时对种植大户予以政策上的支持；在全镇各村因地制宜推广瓜蒌种植经验，进一步壮大集体经济，带动更多群众增收致富。</w:t>
      </w:r>
    </w:p>
    <w:p w14:paraId="5CB68A68">
      <w:pPr>
        <w:pStyle w:val="5"/>
        <w:widowControl/>
        <w:spacing w:beforeAutospacing="0" w:afterAutospacing="0" w:line="400" w:lineRule="exact"/>
        <w:ind w:firstLine="420"/>
        <w:jc w:val="both"/>
        <w:rPr>
          <w:rFonts w:ascii="Calibri" w:hAnsi="Calibri" w:eastAsia="宋体"/>
          <w:color w:val="000000"/>
          <w:sz w:val="25"/>
          <w:szCs w:val="25"/>
        </w:rPr>
      </w:pPr>
    </w:p>
    <w:p w14:paraId="3397A6C0">
      <w:pPr>
        <w:spacing w:line="400" w:lineRule="exact"/>
      </w:pPr>
    </w:p>
    <w:p w14:paraId="464A2773">
      <w:pPr>
        <w:rPr>
          <w:rFonts w:ascii="Times New Roman" w:hAnsi="Times New Roman" w:eastAsia="仿宋" w:cs="Times New Roman"/>
          <w:color w:val="000000"/>
          <w:szCs w:val="32"/>
        </w:rPr>
      </w:pPr>
    </w:p>
    <w:p w14:paraId="6FA63ADB">
      <w:pPr>
        <w:rPr>
          <w:rFonts w:ascii="Times New Roman" w:hAnsi="Times New Roman" w:cs="Times New Roman"/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4F6AA87A-92A4-44F4-BE51-677AD6B55EE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2" w:fontKey="{67ED839A-38CC-48E5-A56F-6729FF6EFE50}"/>
  </w:font>
  <w:font w:name="方正仿宋_GB2312">
    <w:altName w:val="仿宋"/>
    <w:panose1 w:val="00000000000000000000"/>
    <w:charset w:val="86"/>
    <w:family w:val="auto"/>
    <w:pitch w:val="default"/>
    <w:sig w:usb0="00000000" w:usb1="00000000" w:usb2="00000012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3" w:fontKey="{AA2C38EF-8557-452A-B7B8-EA7B2A9A9471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4" w:fontKey="{A58E8879-18A6-4DC6-A5A2-5485CF1FA438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5" w:fontKey="{3EEFCFF0-CC9A-4D44-8477-CF0476EA3D35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4D1FF80F-5D1E-423F-9525-7AEA74B9B816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7" w:fontKey="{FF651865-1854-445F-8075-B8234F07B98D}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8" w:fontKey="{D68F953C-9911-466D-A5C4-7E779A0E24A4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1C05D1E5-4A9D-48BE-98FA-24A3C5DE35C8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10" w:fontKey="{57397154-0A44-4E5F-B205-D3C04094D53C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FA3D3423-581B-495D-9656-FCEE2B6F4155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9846F2">
    <w:pPr>
      <w:pStyle w:val="2"/>
      <w:spacing w:after="0" w:line="320" w:lineRule="exact"/>
      <w:ind w:firstLine="602"/>
      <w:rPr>
        <w:rFonts w:ascii="楷体" w:hAnsi="楷体" w:eastAsia="楷体"/>
        <w:b/>
        <w:sz w:val="30"/>
        <w:szCs w:val="3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E6B28"/>
    <w:rsid w:val="002A1981"/>
    <w:rsid w:val="002B287F"/>
    <w:rsid w:val="00347FE7"/>
    <w:rsid w:val="00404E7C"/>
    <w:rsid w:val="0056237A"/>
    <w:rsid w:val="00642A1E"/>
    <w:rsid w:val="00815BD3"/>
    <w:rsid w:val="00906786"/>
    <w:rsid w:val="00B41641"/>
    <w:rsid w:val="00B47080"/>
    <w:rsid w:val="00BE2FA0"/>
    <w:rsid w:val="00CE6B28"/>
    <w:rsid w:val="00DF24DD"/>
    <w:rsid w:val="00E26A8D"/>
    <w:rsid w:val="00F92E81"/>
    <w:rsid w:val="01A97B4C"/>
    <w:rsid w:val="02BA21E0"/>
    <w:rsid w:val="040C2A1E"/>
    <w:rsid w:val="0B462863"/>
    <w:rsid w:val="0BDC704F"/>
    <w:rsid w:val="0C9615C8"/>
    <w:rsid w:val="0E5944E9"/>
    <w:rsid w:val="0EF6634E"/>
    <w:rsid w:val="103E4A53"/>
    <w:rsid w:val="12396910"/>
    <w:rsid w:val="14F36D16"/>
    <w:rsid w:val="16FA2753"/>
    <w:rsid w:val="1A2B27FC"/>
    <w:rsid w:val="1AF37BE5"/>
    <w:rsid w:val="1D1964B6"/>
    <w:rsid w:val="1D5E3A3C"/>
    <w:rsid w:val="1EFD7285"/>
    <w:rsid w:val="21A1039B"/>
    <w:rsid w:val="241A4435"/>
    <w:rsid w:val="291819B2"/>
    <w:rsid w:val="2C832601"/>
    <w:rsid w:val="2CCF04B2"/>
    <w:rsid w:val="2CF33E5B"/>
    <w:rsid w:val="2F725125"/>
    <w:rsid w:val="31523460"/>
    <w:rsid w:val="33363900"/>
    <w:rsid w:val="38C033A5"/>
    <w:rsid w:val="3A696F7B"/>
    <w:rsid w:val="3ADE3FB6"/>
    <w:rsid w:val="3B5D312D"/>
    <w:rsid w:val="3CBA010B"/>
    <w:rsid w:val="3CD218F9"/>
    <w:rsid w:val="3D202664"/>
    <w:rsid w:val="3E8D1F7B"/>
    <w:rsid w:val="3F0C2A04"/>
    <w:rsid w:val="43356E10"/>
    <w:rsid w:val="47BB0D3E"/>
    <w:rsid w:val="499A72FA"/>
    <w:rsid w:val="4B736055"/>
    <w:rsid w:val="4CA94913"/>
    <w:rsid w:val="4FF82FCD"/>
    <w:rsid w:val="511C6D04"/>
    <w:rsid w:val="52E37F64"/>
    <w:rsid w:val="53DC65E3"/>
    <w:rsid w:val="5B3F3D9E"/>
    <w:rsid w:val="5D250E1A"/>
    <w:rsid w:val="60BF5B6D"/>
    <w:rsid w:val="62E95123"/>
    <w:rsid w:val="62F5293B"/>
    <w:rsid w:val="64201A10"/>
    <w:rsid w:val="68E6311C"/>
    <w:rsid w:val="6E4C37FE"/>
    <w:rsid w:val="6F6B5CF5"/>
    <w:rsid w:val="70CD2B43"/>
    <w:rsid w:val="72205B7A"/>
    <w:rsid w:val="73945119"/>
    <w:rsid w:val="73F26870"/>
    <w:rsid w:val="7423420D"/>
    <w:rsid w:val="77884AB3"/>
    <w:rsid w:val="78AC47D1"/>
    <w:rsid w:val="7A304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iPriority="99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方正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3"/>
    <w:basedOn w:val="1"/>
    <w:unhideWhenUsed/>
    <w:qFormat/>
    <w:uiPriority w:val="99"/>
    <w:pPr>
      <w:spacing w:after="120"/>
    </w:pPr>
    <w:rPr>
      <w:sz w:val="16"/>
      <w:szCs w:val="16"/>
    </w:rPr>
  </w:style>
  <w:style w:type="paragraph" w:styleId="3">
    <w:name w:val="Balloon Text"/>
    <w:basedOn w:val="1"/>
    <w:link w:val="10"/>
    <w:uiPriority w:val="0"/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character" w:styleId="8">
    <w:name w:val="Hyperlink"/>
    <w:basedOn w:val="7"/>
    <w:uiPriority w:val="0"/>
    <w:rPr>
      <w:color w:val="0000FF"/>
      <w:u w:val="single"/>
    </w:rPr>
  </w:style>
  <w:style w:type="paragraph" w:customStyle="1" w:styleId="9">
    <w:name w:val="Table Paragraph"/>
    <w:basedOn w:val="1"/>
    <w:qFormat/>
    <w:uiPriority w:val="1"/>
    <w:pPr>
      <w:widowControl/>
      <w:jc w:val="left"/>
    </w:pPr>
    <w:rPr>
      <w:rFonts w:hint="eastAsia" w:ascii="仿宋" w:hAnsi="仿宋" w:eastAsia="仿宋" w:cs="仿宋"/>
      <w:color w:val="000000"/>
      <w:kern w:val="0"/>
      <w:sz w:val="24"/>
      <w:szCs w:val="24"/>
      <w:u w:color="000000"/>
      <w:lang w:val="zh-CN" w:bidi="zh-CN"/>
    </w:rPr>
  </w:style>
  <w:style w:type="character" w:customStyle="1" w:styleId="10">
    <w:name w:val="批注框文本 Char"/>
    <w:basedOn w:val="7"/>
    <w:link w:val="3"/>
    <w:uiPriority w:val="0"/>
    <w:rPr>
      <w:rFonts w:eastAsia="方正仿宋_GB2312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4424</Words>
  <Characters>4959</Characters>
  <Lines>9</Lines>
  <Paragraphs>11</Paragraphs>
  <TotalTime>16</TotalTime>
  <ScaleCrop>false</ScaleCrop>
  <LinksUpToDate>false</LinksUpToDate>
  <CharactersWithSpaces>5074</CharactersWithSpaces>
  <Application>WPS Office_12.1.0.26936_F1E327BC-269C-435d-A152-05C5408002CA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2026-04-07T06:18:00Z</dcterms:created>
  <dc:creator>EDY</dc:creator>
  <cp:lastModifiedBy>宿迁市新闻工作者协会</cp:lastModifiedBy>
  <cp:lastPrinted>2026-07-30T09:18:00Z</cp:lastPrinted>
  <dcterms:modified xsi:type="dcterms:W3CDTF">2026-07-31T07:42:57Z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2052-12.1.0.26936</vt:lpwstr>
  </property>
  <property fmtid="{D5CDD505-2E9C-101B-9397-08002B2CF9AE}" pid="3" name="KSOTemplateDocerSaveRecord">
    <vt:lpwstr>eyJoZGlkIjoiYWZiODYyMWRiYmFlOTFmMzAzOGQwMmMzYmI3OWVlMDQiLCJ1c2VySWQiOiI0MTAwOTQzOTYifQ==</vt:lpwstr>
  </property>
  <property fmtid="{D5CDD505-2E9C-101B-9397-08002B2CF9AE}" pid="4" name="ICV">
    <vt:lpwstr>D1E8F804244740EF9C47E280E765C5A0_12</vt:lpwstr>
  </property>
</Properties>
</file>