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8" w:line="5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附件：服务方案说明</w:t>
      </w:r>
    </w:p>
    <w:bookmarkEnd w:id="0"/>
    <w:p>
      <w:pPr>
        <w:spacing w:before="136" w:line="560" w:lineRule="exact"/>
        <w:ind w:right="377" w:firstLine="596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11"/>
          <w:sz w:val="32"/>
          <w:szCs w:val="32"/>
        </w:rPr>
        <w:t>一、服务方案需标页码并加盖单位公章，将扫描件发送至我</w:t>
      </w:r>
      <w:r>
        <w:rPr>
          <w:rFonts w:ascii="Times New Roman" w:hAnsi="Times New Roman" w:eastAsia="方正仿宋简体" w:cs="Times New Roman"/>
          <w:spacing w:val="-9"/>
          <w:sz w:val="32"/>
          <w:szCs w:val="32"/>
        </w:rPr>
        <w:t>司邮箱。服务方案中的内容视为参与人对本项目的服务承诺</w:t>
      </w:r>
      <w:r>
        <w:rPr>
          <w:rFonts w:hint="eastAsia" w:ascii="Times New Roman" w:hAnsi="Times New Roman" w:eastAsia="方正仿宋简体" w:cs="Times New Roman"/>
          <w:spacing w:val="-9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b/>
          <w:spacing w:val="-16"/>
          <w:sz w:val="32"/>
          <w:szCs w:val="32"/>
        </w:rPr>
        <w:t>若</w:t>
      </w:r>
      <w:r>
        <w:rPr>
          <w:rFonts w:ascii="Times New Roman" w:hAnsi="Times New Roman" w:eastAsia="方正仿宋简体" w:cs="Times New Roman"/>
          <w:b/>
          <w:spacing w:val="-6"/>
          <w:sz w:val="32"/>
          <w:szCs w:val="32"/>
        </w:rPr>
        <w:t>承销商未完成承诺</w:t>
      </w:r>
      <w:r>
        <w:rPr>
          <w:rFonts w:ascii="Times New Roman" w:hAnsi="Times New Roman" w:eastAsia="方正仿宋简体" w:cs="Times New Roman"/>
          <w:b/>
          <w:spacing w:val="-6"/>
          <w:sz w:val="32"/>
          <w:szCs w:val="32"/>
          <w:lang w:val="en-US"/>
        </w:rPr>
        <w:t>或因其自身原因导致本单</w:t>
      </w:r>
      <w:r>
        <w:rPr>
          <w:rFonts w:hint="eastAsia" w:ascii="Times New Roman" w:hAnsi="Times New Roman" w:eastAsia="方正仿宋简体" w:cs="Times New Roman"/>
          <w:b/>
          <w:spacing w:val="-6"/>
          <w:sz w:val="32"/>
          <w:szCs w:val="32"/>
          <w:lang w:val="en-US" w:eastAsia="zh-CN"/>
        </w:rPr>
        <w:t>永续中票</w:t>
      </w:r>
      <w:r>
        <w:rPr>
          <w:rFonts w:ascii="Times New Roman" w:hAnsi="Times New Roman" w:eastAsia="方正仿宋简体" w:cs="Times New Roman"/>
          <w:b/>
          <w:spacing w:val="-6"/>
          <w:sz w:val="32"/>
          <w:szCs w:val="32"/>
          <w:lang w:val="en-US"/>
        </w:rPr>
        <w:t>注册及发行延期</w:t>
      </w:r>
      <w:r>
        <w:rPr>
          <w:rFonts w:ascii="Times New Roman" w:hAnsi="Times New Roman" w:eastAsia="方正仿宋简体" w:cs="Times New Roman"/>
          <w:b/>
          <w:spacing w:val="-6"/>
          <w:sz w:val="32"/>
          <w:szCs w:val="32"/>
        </w:rPr>
        <w:t>，未来</w:t>
      </w:r>
      <w:r>
        <w:rPr>
          <w:rFonts w:ascii="Times New Roman" w:hAnsi="Times New Roman" w:eastAsia="方正仿宋简体" w:cs="Times New Roman"/>
          <w:b/>
          <w:sz w:val="32"/>
          <w:szCs w:val="32"/>
          <w:lang w:val="en-US"/>
        </w:rPr>
        <w:t>36</w:t>
      </w:r>
      <w:r>
        <w:rPr>
          <w:rFonts w:ascii="Times New Roman" w:hAnsi="Times New Roman" w:eastAsia="方正仿宋简体" w:cs="Times New Roman"/>
          <w:b/>
          <w:spacing w:val="-9"/>
          <w:sz w:val="32"/>
          <w:szCs w:val="32"/>
        </w:rPr>
        <w:t>个月内不再邀请参加比选</w:t>
      </w:r>
      <w:r>
        <w:rPr>
          <w:rFonts w:hint="eastAsia" w:ascii="Times New Roman" w:hAnsi="Times New Roman" w:eastAsia="方正仿宋简体" w:cs="Times New Roman"/>
          <w:b/>
          <w:spacing w:val="-9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spacing w:val="-152"/>
          <w:sz w:val="32"/>
          <w:szCs w:val="32"/>
        </w:rPr>
        <w:t>）</w:t>
      </w:r>
    </w:p>
    <w:p>
      <w:pPr>
        <w:pStyle w:val="3"/>
        <w:spacing w:before="4" w:line="560" w:lineRule="exact"/>
        <w:ind w:left="0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二、服务方案以简明扼要为宜，需包括以下内容：</w:t>
      </w:r>
    </w:p>
    <w:p>
      <w:pPr>
        <w:pStyle w:val="2"/>
        <w:spacing w:before="136" w:line="560" w:lineRule="exact"/>
        <w:ind w:left="0" w:firstLine="643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综合</w:t>
      </w:r>
      <w:r>
        <w:rPr>
          <w:rFonts w:ascii="Times New Roman" w:hAnsi="Times New Roman" w:eastAsia="方正仿宋简体" w:cs="Times New Roman"/>
          <w:sz w:val="32"/>
          <w:szCs w:val="32"/>
        </w:rPr>
        <w:t>费率</w:t>
      </w:r>
    </w:p>
    <w:p>
      <w:pPr>
        <w:spacing w:before="154" w:line="560" w:lineRule="exact"/>
        <w:ind w:right="377" w:firstLine="600" w:firstLineChars="200"/>
        <w:jc w:val="both"/>
        <w:rPr>
          <w:rFonts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spacing w:val="-10"/>
          <w:sz w:val="32"/>
          <w:szCs w:val="32"/>
        </w:rPr>
        <w:t>以百分数形式表示，按每期发行金额计算，一次性收取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spacing w:val="-2"/>
          <w:sz w:val="32"/>
          <w:szCs w:val="32"/>
        </w:rPr>
        <w:t>与</w:t>
      </w: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val="en-US" w:eastAsia="zh-CN"/>
        </w:rPr>
        <w:t>永续中票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发行期限无关</w:t>
      </w:r>
      <w:r>
        <w:rPr>
          <w:rFonts w:ascii="Times New Roman" w:hAnsi="Times New Roman" w:eastAsia="方正仿宋简体" w:cs="Times New Roman"/>
          <w:spacing w:val="-142"/>
          <w:sz w:val="32"/>
          <w:szCs w:val="32"/>
        </w:rPr>
        <w:t>）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pacing w:val="-3"/>
          <w:sz w:val="32"/>
          <w:szCs w:val="32"/>
          <w:lang w:val="en-US"/>
        </w:rPr>
        <w:t>此费率包含承销费及受托管理费用，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报价一经发出不得撤销或变更</w:t>
      </w:r>
      <w:r>
        <w:rPr>
          <w:rFonts w:ascii="Times New Roman" w:hAnsi="Times New Roman" w:eastAsia="方正仿宋简体" w:cs="Times New Roman"/>
          <w:spacing w:val="-3"/>
          <w:sz w:val="32"/>
          <w:szCs w:val="32"/>
          <w:lang w:val="en-US"/>
        </w:rPr>
        <w:t>。</w:t>
      </w:r>
    </w:p>
    <w:p>
      <w:pPr>
        <w:spacing w:before="1" w:line="560" w:lineRule="exact"/>
        <w:ind w:right="377" w:firstLine="651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pacing w:val="2"/>
          <w:sz w:val="32"/>
          <w:szCs w:val="32"/>
        </w:rPr>
        <w:t>要求：</w:t>
      </w:r>
      <w:r>
        <w:rPr>
          <w:rFonts w:ascii="Times New Roman" w:hAnsi="Times New Roman" w:eastAsia="方正仿宋简体" w:cs="Times New Roman"/>
          <w:spacing w:val="-2"/>
          <w:sz w:val="32"/>
          <w:szCs w:val="32"/>
        </w:rPr>
        <w:t>参与机构若报价</w:t>
      </w: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</w:rPr>
        <w:t>不符合监管指导要求</w:t>
      </w:r>
      <w:r>
        <w:rPr>
          <w:rFonts w:ascii="Times New Roman" w:hAnsi="Times New Roman" w:eastAsia="方正仿宋简体" w:cs="Times New Roman"/>
          <w:sz w:val="32"/>
          <w:szCs w:val="32"/>
        </w:rPr>
        <w:t>，则报价无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</w:rPr>
        <w:t>效并取消本次参与资格</w:t>
      </w:r>
      <w:r>
        <w:rPr>
          <w:rFonts w:hint="eastAsia" w:ascii="Times New Roman" w:hAnsi="Times New Roman" w:eastAsia="方正仿宋简体" w:cs="Times New Roman"/>
          <w:spacing w:val="-14"/>
          <w:sz w:val="32"/>
          <w:szCs w:val="32"/>
        </w:rPr>
        <w:t>。</w:t>
      </w:r>
    </w:p>
    <w:p>
      <w:pPr>
        <w:pStyle w:val="2"/>
        <w:spacing w:line="560" w:lineRule="exact"/>
        <w:ind w:left="0" w:firstLine="643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（二）专业能力与服务意愿</w:t>
      </w:r>
    </w:p>
    <w:p>
      <w:pPr>
        <w:spacing w:before="157" w:line="560" w:lineRule="exact"/>
        <w:ind w:right="377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1、服务团队人员安排。包含团队人员简介，团队人员需具备专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业胜任能力以及与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lang w:val="en-US" w:eastAsia="zh-CN"/>
        </w:rPr>
        <w:t>协会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的沟通能力。本次项目需提前明确项目</w:t>
      </w:r>
      <w:r>
        <w:rPr>
          <w:rFonts w:ascii="Times New Roman" w:hAnsi="Times New Roman" w:eastAsia="方正仿宋简体" w:cs="Times New Roman"/>
          <w:spacing w:val="-8"/>
          <w:sz w:val="32"/>
          <w:szCs w:val="32"/>
          <w:lang w:val="en-US"/>
        </w:rPr>
        <w:t>所有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执行人</w:t>
      </w:r>
      <w:r>
        <w:rPr>
          <w:rFonts w:ascii="Times New Roman" w:hAnsi="Times New Roman" w:eastAsia="方正仿宋简体" w:cs="Times New Roman"/>
          <w:spacing w:val="-3"/>
          <w:sz w:val="32"/>
          <w:szCs w:val="32"/>
          <w:lang w:val="en-US"/>
        </w:rPr>
        <w:t>并在整个注册及发行环节保持不变，如需变更须经我司同意，如未经我司同意变更，则我司有权单方取消贵方对本单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永续中票</w:t>
      </w:r>
      <w:r>
        <w:rPr>
          <w:rFonts w:ascii="Times New Roman" w:hAnsi="Times New Roman" w:eastAsia="方正仿宋简体" w:cs="Times New Roman"/>
          <w:spacing w:val="-3"/>
          <w:sz w:val="32"/>
          <w:szCs w:val="32"/>
          <w:lang w:val="en-US"/>
        </w:rPr>
        <w:t>主承销商资格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。</w:t>
      </w:r>
    </w:p>
    <w:p>
      <w:pPr>
        <w:spacing w:line="560" w:lineRule="exact"/>
        <w:ind w:right="235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pacing w:val="-12"/>
          <w:sz w:val="32"/>
          <w:szCs w:val="32"/>
        </w:rPr>
        <w:t>、工作步骤及时间节点安排。需合理安排，提供注册时间节点、各中介机构同步进场时间、报会时间、获得注册批文时间以及相关时</w:t>
      </w:r>
      <w:r>
        <w:rPr>
          <w:rFonts w:ascii="Times New Roman" w:hAnsi="Times New Roman" w:eastAsia="方正仿宋简体" w:cs="Times New Roman"/>
          <w:spacing w:val="-5"/>
          <w:sz w:val="32"/>
          <w:szCs w:val="32"/>
        </w:rPr>
        <w:t>点所需准备材料</w:t>
      </w:r>
      <w:r>
        <w:rPr>
          <w:rFonts w:hint="eastAsia" w:ascii="Times New Roman" w:hAnsi="Times New Roman" w:eastAsia="方正仿宋简体" w:cs="Times New Roman"/>
          <w:spacing w:val="-5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spacing w:val="-12"/>
          <w:sz w:val="32"/>
          <w:szCs w:val="32"/>
        </w:rPr>
        <w:t>以</w:t>
      </w:r>
      <w:r>
        <w:rPr>
          <w:rFonts w:hint="eastAsia" w:ascii="Times New Roman" w:hAnsi="Times New Roman" w:eastAsia="方正仿宋简体" w:cs="Times New Roman"/>
          <w:spacing w:val="-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spacing w:val="-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pacing w:val="-12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简体" w:cs="Times New Roman"/>
          <w:spacing w:val="-12"/>
          <w:sz w:val="32"/>
          <w:szCs w:val="32"/>
          <w:highlight w:val="none"/>
        </w:rPr>
        <w:t>号</w:t>
      </w:r>
      <w:r>
        <w:rPr>
          <w:rFonts w:ascii="Times New Roman" w:hAnsi="Times New Roman" w:eastAsia="方正仿宋简体" w:cs="Times New Roman"/>
          <w:spacing w:val="-12"/>
          <w:sz w:val="32"/>
          <w:szCs w:val="32"/>
        </w:rPr>
        <w:t>为项目开始日，</w:t>
      </w:r>
      <w:r>
        <w:rPr>
          <w:rFonts w:ascii="Times New Roman" w:hAnsi="Times New Roman" w:eastAsia="方正仿宋简体" w:cs="Times New Roman"/>
          <w:spacing w:val="-16"/>
          <w:sz w:val="32"/>
          <w:szCs w:val="32"/>
        </w:rPr>
        <w:t>若实际启动时间有变，</w:t>
      </w:r>
      <w:r>
        <w:rPr>
          <w:rFonts w:ascii="Times New Roman" w:hAnsi="Times New Roman" w:eastAsia="方正仿宋简体" w:cs="Times New Roman"/>
          <w:spacing w:val="-19"/>
          <w:sz w:val="32"/>
          <w:szCs w:val="32"/>
        </w:rPr>
        <w:t>则时间节点相应顺延</w:t>
      </w:r>
      <w:r>
        <w:rPr>
          <w:rFonts w:hint="eastAsia" w:ascii="Times New Roman" w:hAnsi="Times New Roman" w:eastAsia="方正仿宋简体" w:cs="Times New Roman"/>
          <w:spacing w:val="-19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）</w:t>
      </w:r>
    </w:p>
    <w:p>
      <w:pPr>
        <w:pStyle w:val="2"/>
        <w:spacing w:line="560" w:lineRule="exact"/>
        <w:ind w:left="0" w:firstLine="643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（三）承销业绩</w:t>
      </w:r>
    </w:p>
    <w:p>
      <w:pPr>
        <w:spacing w:before="157" w:line="560" w:lineRule="exact"/>
        <w:ind w:right="377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1、提供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2024年1-12月承销2+N及3+N年期长三角地区AAA级永续中票发行明细</w:t>
      </w:r>
      <w:r>
        <w:rPr>
          <w:rFonts w:ascii="Times New Roman" w:hAnsi="Times New Roman" w:eastAsia="方正仿宋简体" w:cs="Times New Roman"/>
          <w:sz w:val="32"/>
          <w:szCs w:val="32"/>
        </w:rPr>
        <w:t>（含主体名称、金额、利率等要素）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>
      <w:pPr>
        <w:spacing w:before="157" w:line="560" w:lineRule="exact"/>
        <w:ind w:right="377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2、提供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2024年1-12月累计承销长三角地区AAA级永续中票</w:t>
      </w:r>
      <w:r>
        <w:rPr>
          <w:rFonts w:ascii="Times New Roman" w:hAnsi="Times New Roman" w:eastAsia="方正仿宋简体" w:cs="Times New Roman"/>
          <w:sz w:val="32"/>
          <w:szCs w:val="32"/>
        </w:rPr>
        <w:t>的规模（含主体名称、金额）。</w:t>
      </w:r>
    </w:p>
    <w:p>
      <w:pPr>
        <w:pStyle w:val="2"/>
        <w:spacing w:before="140" w:line="560" w:lineRule="exact"/>
        <w:ind w:left="0" w:firstLine="643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四</w:t>
      </w:r>
      <w:r>
        <w:rPr>
          <w:rFonts w:ascii="Times New Roman" w:hAnsi="Times New Roman" w:eastAsia="方正仿宋简体" w:cs="Times New Roman"/>
          <w:sz w:val="32"/>
          <w:szCs w:val="32"/>
        </w:rPr>
        <w:t>）综合支持力度</w:t>
      </w:r>
    </w:p>
    <w:p>
      <w:pPr>
        <w:spacing w:before="157" w:line="560" w:lineRule="exact"/>
        <w:ind w:right="377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本单永续中票批文项下的主动投资额度或比例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需提供书面证明材料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>
      <w:pPr>
        <w:spacing w:before="157" w:line="560" w:lineRule="exact"/>
        <w:ind w:right="377" w:firstLine="640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2、以往对产发集团、洋河集团的支持情况（包括但不限于转售投债、过往履约及政策研究支持等）。</w:t>
      </w:r>
    </w:p>
    <w:sectPr>
      <w:footerReference r:id="rId3" w:type="default"/>
      <w:pgSz w:w="11910" w:h="16840"/>
      <w:pgMar w:top="1389" w:right="1020" w:bottom="879" w:left="1395" w:header="0" w:footer="9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EFAE443-4151-4F82-B3E9-5F90B77BAF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274236B-DB7C-48E3-85C1-DC083B915FE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9935845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2.3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52H22gAAAA0BAAAPAAAAAAAAAAEAIAAAACIAAABkcnMvZG93bnJldi54bWxQSwEC&#10;FAAUAAAACACHTuJA1YPnM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007A4334"/>
    <w:rsid w:val="006208F1"/>
    <w:rsid w:val="00707206"/>
    <w:rsid w:val="007A4334"/>
    <w:rsid w:val="008118B1"/>
    <w:rsid w:val="00DE44EA"/>
    <w:rsid w:val="00FF11D6"/>
    <w:rsid w:val="025832D3"/>
    <w:rsid w:val="05EC4085"/>
    <w:rsid w:val="06107B0A"/>
    <w:rsid w:val="07A501B3"/>
    <w:rsid w:val="08B3366A"/>
    <w:rsid w:val="09B51645"/>
    <w:rsid w:val="0CF30DDE"/>
    <w:rsid w:val="0D2155C6"/>
    <w:rsid w:val="0DCB79FC"/>
    <w:rsid w:val="10866176"/>
    <w:rsid w:val="10DB7253"/>
    <w:rsid w:val="13AB6DD5"/>
    <w:rsid w:val="14C21AF9"/>
    <w:rsid w:val="175A6B03"/>
    <w:rsid w:val="18B31657"/>
    <w:rsid w:val="19DD747C"/>
    <w:rsid w:val="1A8D40F8"/>
    <w:rsid w:val="1B4C10CF"/>
    <w:rsid w:val="1DA96FA8"/>
    <w:rsid w:val="1EF33ABA"/>
    <w:rsid w:val="1F542415"/>
    <w:rsid w:val="210540D8"/>
    <w:rsid w:val="213A75DC"/>
    <w:rsid w:val="257C4E91"/>
    <w:rsid w:val="26220DC5"/>
    <w:rsid w:val="26AE5A76"/>
    <w:rsid w:val="2E603F26"/>
    <w:rsid w:val="2E76727F"/>
    <w:rsid w:val="3140791D"/>
    <w:rsid w:val="33F30367"/>
    <w:rsid w:val="343E2FAE"/>
    <w:rsid w:val="344B00C9"/>
    <w:rsid w:val="38EC1B9F"/>
    <w:rsid w:val="3943550D"/>
    <w:rsid w:val="3A565935"/>
    <w:rsid w:val="3CC77BE1"/>
    <w:rsid w:val="3FDB39F3"/>
    <w:rsid w:val="40177DB7"/>
    <w:rsid w:val="43E336E7"/>
    <w:rsid w:val="452E2ABF"/>
    <w:rsid w:val="475F0144"/>
    <w:rsid w:val="48F757D3"/>
    <w:rsid w:val="49845E6D"/>
    <w:rsid w:val="49ED33D8"/>
    <w:rsid w:val="4D4A4CA7"/>
    <w:rsid w:val="4E76485C"/>
    <w:rsid w:val="540E73E1"/>
    <w:rsid w:val="55A90E2D"/>
    <w:rsid w:val="56485A3D"/>
    <w:rsid w:val="588B022A"/>
    <w:rsid w:val="5A5C7D3D"/>
    <w:rsid w:val="5E196F30"/>
    <w:rsid w:val="5F597925"/>
    <w:rsid w:val="5F705F0D"/>
    <w:rsid w:val="616E0E83"/>
    <w:rsid w:val="6176438D"/>
    <w:rsid w:val="63710518"/>
    <w:rsid w:val="649F2BB8"/>
    <w:rsid w:val="674A3754"/>
    <w:rsid w:val="697B2BD0"/>
    <w:rsid w:val="6AD84D38"/>
    <w:rsid w:val="6BE56872"/>
    <w:rsid w:val="6D303C8C"/>
    <w:rsid w:val="6FF9768C"/>
    <w:rsid w:val="734D0EF4"/>
    <w:rsid w:val="7965399E"/>
    <w:rsid w:val="7DDD322A"/>
    <w:rsid w:val="7DDE0250"/>
    <w:rsid w:val="7F136500"/>
    <w:rsid w:val="7F53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20"/>
      <w:outlineLvl w:val="0"/>
    </w:pPr>
    <w:rPr>
      <w:b/>
      <w:bCs/>
      <w:sz w:val="30"/>
      <w:szCs w:val="30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34"/>
      <w:ind w:left="120"/>
    </w:pPr>
    <w:rPr>
      <w:sz w:val="30"/>
      <w:szCs w:val="30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1338</Words>
  <Characters>1408</Characters>
  <Lines>9</Lines>
  <Paragraphs>2</Paragraphs>
  <TotalTime>6</TotalTime>
  <ScaleCrop>false</ScaleCrop>
  <LinksUpToDate>false</LinksUpToDate>
  <CharactersWithSpaces>1408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2021-07-14T08:59:00Z</dcterms:created>
  <dc:creator>Administrator</dc:creator>
  <cp:lastModifiedBy>n汕僮壹裙酚</cp:lastModifiedBy>
  <cp:lastPrinted>2023-03-17T06:17:00Z</cp:lastPrinted>
  <dcterms:modified xsi:type="dcterms:W3CDTF">2025-06-26T06:07:12Z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45B8F852DD1A4A3180A32826B2176A1F_13</vt:lpwstr>
  </property>
  <property fmtid="{D5CDD505-2E9C-101B-9397-08002B2CF9AE}" pid="7" name="KSOTemplateDocerSaveRecord">
    <vt:lpwstr>eyJoZGlkIjoiYTIwODE0NGVkZmQxMTYzZDdhNGExMmExOTNkYTQxOTEiLCJ1c2VySWQiOiIzMTc0MTI5OTUifQ==</vt:lpwstr>
  </property>
</Properties>
</file>