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outlineLvl w:val="0"/>
        <w:rPr>
          <w:rFonts w:hint="eastAsia" w:ascii="Times New Roman" w:hAnsi="Times New Roman" w:eastAsia="方正黑体简体" w:cs="Times New Roman"/>
          <w:snapToGrid/>
          <w:kern w:val="2"/>
          <w:sz w:val="32"/>
          <w:szCs w:val="32"/>
          <w:lang w:val="en-US" w:eastAsia="zh-CN" w:bidi="ar-SA"/>
        </w:rPr>
      </w:pPr>
      <w:r>
        <w:rPr>
          <w:rFonts w:hint="eastAsia" w:ascii="Times New Roman" w:hAnsi="Times New Roman" w:eastAsia="方正黑体简体" w:cs="Times New Roman"/>
          <w:snapToGrid/>
          <w:kern w:val="2"/>
          <w:sz w:val="32"/>
          <w:szCs w:val="32"/>
          <w:lang w:val="en-US" w:eastAsia="zh-CN" w:bidi="ar-SA"/>
        </w:rPr>
        <w:t>附件：服务方案说明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outlineLvl w:val="0"/>
        <w:rPr>
          <w:rFonts w:hint="eastAsia" w:ascii="Times New Roman" w:hAnsi="Times New Roman" w:eastAsia="方正黑体简体" w:cs="Times New Roman"/>
          <w:snapToGrid/>
          <w:kern w:val="2"/>
          <w:sz w:val="32"/>
          <w:szCs w:val="32"/>
          <w:lang w:val="en-US" w:eastAsia="zh-CN" w:bidi="ar-SA"/>
        </w:rPr>
      </w:pPr>
      <w:bookmarkStart w:id="0" w:name="_GoBack"/>
      <w:bookmarkEnd w:id="0"/>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一、服务方案需标页码并加盖单位公章，服务方案中的内容视为参与机构对本项目的服务承诺（若承销商未完成承诺的或因其自身原因导致本单资产支持票据注册及发行延期，</w:t>
      </w:r>
      <w:r>
        <w:rPr>
          <w:rFonts w:hint="eastAsia" w:ascii="方正黑体简体" w:hAnsi="方正黑体简体" w:eastAsia="方正黑体简体" w:cs="方正黑体简体"/>
          <w:b/>
          <w:bCs/>
          <w:sz w:val="32"/>
          <w:szCs w:val="32"/>
          <w:lang w:val="en-US" w:eastAsia="zh-CN"/>
        </w:rPr>
        <w:t>未来36个月内不得参加比选</w:t>
      </w:r>
      <w:r>
        <w:rPr>
          <w:rFonts w:hint="eastAsia" w:ascii="方正黑体简体" w:hAnsi="方正黑体简体" w:eastAsia="方正黑体简体" w:cs="方正黑体简体"/>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二、服务方案以简明扼要为宜，需包括以下内容：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（一）综合费率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承销费率：</w:t>
      </w:r>
      <w:r>
        <w:rPr>
          <w:rFonts w:hint="default" w:ascii="Times New Roman" w:hAnsi="Times New Roman" w:eastAsia="方正仿宋简体" w:cs="Times New Roman"/>
          <w:sz w:val="32"/>
          <w:szCs w:val="32"/>
          <w:lang w:val="en-US" w:eastAsia="zh-CN"/>
        </w:rPr>
        <w:t>以百分数形式表示，按每期发行金额计算，一次性收取</w:t>
      </w:r>
      <w:r>
        <w:rPr>
          <w:rFonts w:hint="eastAsia" w:ascii="Times New Roman" w:hAnsi="Times New Roman" w:eastAsia="方正仿宋简体" w:cs="Times New Roman"/>
          <w:sz w:val="32"/>
          <w:szCs w:val="32"/>
          <w:lang w:val="en-US" w:eastAsia="zh-CN"/>
        </w:rPr>
        <w:t>（以3年期资产支持票据为例），</w:t>
      </w:r>
      <w:r>
        <w:rPr>
          <w:rFonts w:hint="default" w:ascii="Times New Roman" w:hAnsi="Times New Roman" w:eastAsia="方正仿宋简体" w:cs="Times New Roman"/>
          <w:sz w:val="32"/>
          <w:szCs w:val="32"/>
          <w:lang w:val="en-US" w:eastAsia="zh-CN"/>
        </w:rPr>
        <w:t>报价一经发出不得撤销或变更。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信托费率：</w:t>
      </w:r>
      <w:r>
        <w:rPr>
          <w:rFonts w:hint="default" w:ascii="Times New Roman" w:hAnsi="Times New Roman" w:eastAsia="方正仿宋简体" w:cs="Times New Roman"/>
          <w:sz w:val="32"/>
          <w:szCs w:val="32"/>
          <w:lang w:val="en-US" w:eastAsia="zh-CN"/>
        </w:rPr>
        <w:t>以百分数形式表示，按每期发行金额计算，一次性收取</w:t>
      </w:r>
      <w:r>
        <w:rPr>
          <w:rFonts w:hint="eastAsia" w:ascii="Times New Roman" w:hAnsi="Times New Roman" w:eastAsia="方正仿宋简体" w:cs="Times New Roman"/>
          <w:sz w:val="32"/>
          <w:szCs w:val="32"/>
          <w:lang w:val="en-US" w:eastAsia="zh-CN"/>
        </w:rPr>
        <w:t>（以3年期资产支持票据为例）</w:t>
      </w:r>
      <w:r>
        <w:rPr>
          <w:rFonts w:hint="default" w:ascii="Times New Roman" w:hAnsi="Times New Roman" w:eastAsia="方正仿宋简体" w:cs="Times New Roman"/>
          <w:sz w:val="32"/>
          <w:szCs w:val="32"/>
          <w:lang w:val="en-US" w:eastAsia="zh-CN"/>
        </w:rPr>
        <w:t>，报价一经发出不得撤销或变更。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w:t>
      </w:r>
      <w:r>
        <w:rPr>
          <w:rFonts w:hint="default" w:ascii="楷体" w:hAnsi="楷体" w:eastAsia="楷体" w:cs="楷体"/>
          <w:sz w:val="32"/>
          <w:szCs w:val="32"/>
          <w:lang w:val="en-US" w:eastAsia="zh-CN"/>
        </w:rPr>
        <w:t>专业能力与服务意愿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服务团队人员安排。包含团队人员简介，团队人员需具备专业胜任能力以及与银行间市场交易商协会的沟通能力。本次项目需提前明确项目所有执行人并在整个注册及发行环节保持不变，如需变更须经我司同意，如未经我司同意变更，则我司有权单方取消贵方对本单</w:t>
      </w:r>
      <w:r>
        <w:rPr>
          <w:rFonts w:hint="eastAsia" w:ascii="Times New Roman" w:hAnsi="Times New Roman" w:eastAsia="方正仿宋简体" w:cs="Times New Roman"/>
          <w:sz w:val="32"/>
          <w:szCs w:val="32"/>
          <w:lang w:val="en-US" w:eastAsia="zh-CN"/>
        </w:rPr>
        <w:t>资产支持票据</w:t>
      </w:r>
      <w:r>
        <w:rPr>
          <w:rFonts w:hint="default" w:ascii="Times New Roman" w:hAnsi="Times New Roman" w:eastAsia="方正仿宋简体" w:cs="Times New Roman"/>
          <w:sz w:val="32"/>
          <w:szCs w:val="32"/>
          <w:lang w:val="en-US" w:eastAsia="zh-CN"/>
        </w:rPr>
        <w:t>主承销商资格。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工作步骤及时间节点安排。需合理安排，提供注册时间节点、各中介机构同步进场时间、报会时间、获得注册批文时间以及相关时点所需准备材料。</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以</w:t>
      </w:r>
      <w:r>
        <w:rPr>
          <w:rFonts w:hint="eastAsia" w:ascii="Times New Roman" w:hAnsi="Times New Roman" w:eastAsia="方正仿宋简体" w:cs="Times New Roman"/>
          <w:sz w:val="32"/>
          <w:szCs w:val="32"/>
          <w:lang w:val="en-US" w:eastAsia="zh-CN"/>
        </w:rPr>
        <w:t>11</w:t>
      </w:r>
      <w:r>
        <w:rPr>
          <w:rFonts w:hint="default" w:ascii="Times New Roman" w:hAnsi="Times New Roman" w:eastAsia="方正仿宋简体" w:cs="Times New Roman"/>
          <w:sz w:val="32"/>
          <w:szCs w:val="32"/>
          <w:lang w:val="en-US" w:eastAsia="zh-CN"/>
        </w:rPr>
        <w:t>月</w:t>
      </w:r>
      <w:r>
        <w:rPr>
          <w:rFonts w:hint="eastAsia" w:ascii="Times New Roman" w:hAnsi="Times New Roman" w:eastAsia="方正仿宋简体" w:cs="Times New Roman"/>
          <w:sz w:val="32"/>
          <w:szCs w:val="32"/>
          <w:lang w:val="en-US" w:eastAsia="zh-CN"/>
        </w:rPr>
        <w:t>11</w:t>
      </w:r>
      <w:r>
        <w:rPr>
          <w:rFonts w:hint="default" w:ascii="Times New Roman" w:hAnsi="Times New Roman" w:eastAsia="方正仿宋简体" w:cs="Times New Roman"/>
          <w:sz w:val="32"/>
          <w:szCs w:val="32"/>
          <w:lang w:val="en-US" w:eastAsia="zh-CN"/>
        </w:rPr>
        <w:t>号为项目开始日，若实际启动时间有变，则时间节点相应顺延</w:t>
      </w:r>
      <w:r>
        <w:rPr>
          <w:rFonts w:hint="eastAsia" w:ascii="Times New Roman" w:hAnsi="Times New Roman" w:eastAsia="方正仿宋简体" w:cs="Times New Roman"/>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（三）</w:t>
      </w:r>
      <w:r>
        <w:rPr>
          <w:rFonts w:hint="default" w:ascii="楷体" w:hAnsi="楷体" w:eastAsia="楷体" w:cs="楷体"/>
          <w:sz w:val="32"/>
          <w:szCs w:val="32"/>
          <w:lang w:val="en-US" w:eastAsia="zh-CN"/>
        </w:rPr>
        <w:t>承销业绩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提供202</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年1月至</w:t>
      </w:r>
      <w:r>
        <w:rPr>
          <w:rFonts w:hint="eastAsia" w:ascii="Times New Roman" w:hAnsi="Times New Roman" w:eastAsia="方正仿宋简体" w:cs="Times New Roman"/>
          <w:sz w:val="32"/>
          <w:szCs w:val="32"/>
          <w:lang w:val="en-US" w:eastAsia="zh-CN"/>
        </w:rPr>
        <w:t>12</w:t>
      </w:r>
      <w:r>
        <w:rPr>
          <w:rFonts w:hint="default" w:ascii="Times New Roman" w:hAnsi="Times New Roman" w:eastAsia="方正仿宋简体" w:cs="Times New Roman"/>
          <w:sz w:val="32"/>
          <w:szCs w:val="32"/>
          <w:lang w:val="en-US" w:eastAsia="zh-CN"/>
        </w:rPr>
        <w:t>月承销全国商业保理公司资产支持票据（包含ABN及ABCP）的发行明细（含主体名称、金额、利率等要素）</w:t>
      </w:r>
      <w:r>
        <w:rPr>
          <w:rFonts w:hint="eastAsia" w:ascii="Times New Roman" w:hAnsi="Times New Roman" w:eastAsia="方正仿宋简体" w:cs="Times New Roman"/>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提供2023年1月-12月累计承销全国商业保理公司资产支持票据（包含ABN及ABCP）的规模</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含各主体名称、金额</w:t>
      </w:r>
      <w:r>
        <w:rPr>
          <w:rFonts w:hint="eastAsia" w:ascii="Times New Roman" w:hAnsi="Times New Roman" w:eastAsia="方正仿宋简体" w:cs="Times New Roman"/>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（四）综合支持力度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1.本单资产支持票据批文项下自营投资额度或比例（需书面证明材料）；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2.较参考日估值下浮情况；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3.以往与产发集团、洋河集团的合作情况。</w:t>
      </w:r>
    </w:p>
    <w:sectPr>
      <w:footerReference r:id="rId5" w:type="default"/>
      <w:pgSz w:w="11910" w:h="16840"/>
      <w:pgMar w:top="1373" w:right="1786" w:bottom="1156" w:left="1533" w:header="0" w:footer="979"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简体">
    <w:panose1 w:val="02000000000000000000"/>
    <w:charset w:val="86"/>
    <w:family w:val="auto"/>
    <w:pitch w:val="default"/>
    <w:sig w:usb0="00000001" w:usb1="080E0000" w:usb2="00000000" w:usb3="00000000" w:csb0="00040000" w:csb1="00000000"/>
    <w:embedRegular r:id="rId1" w:fontKey="{883EF999-94FC-4606-BC7F-6F446D518713}"/>
  </w:font>
  <w:font w:name="方正黑体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embedRegular r:id="rId2" w:fontKey="{AEAA75A3-64F1-4D46-8A54-4C78ADA3E6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83"/>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I5YjBlNmE4ZDU3MmFjM2Y4OGM4Y2MzYzc4NjU0YzIifQ=="/>
  </w:docVars>
  <w:rsids>
    <w:rsidRoot w:val="00000000"/>
    <w:rsid w:val="010B27CC"/>
    <w:rsid w:val="0DC26F60"/>
    <w:rsid w:val="153674A4"/>
    <w:rsid w:val="165512E4"/>
    <w:rsid w:val="17802C1E"/>
    <w:rsid w:val="183F3554"/>
    <w:rsid w:val="18F03E0E"/>
    <w:rsid w:val="19037FE5"/>
    <w:rsid w:val="21EF4232"/>
    <w:rsid w:val="22F33BD5"/>
    <w:rsid w:val="24997A50"/>
    <w:rsid w:val="252857F3"/>
    <w:rsid w:val="2BDD116C"/>
    <w:rsid w:val="30077FAA"/>
    <w:rsid w:val="31727CDA"/>
    <w:rsid w:val="35B43E5F"/>
    <w:rsid w:val="3D7D1865"/>
    <w:rsid w:val="416F0BCA"/>
    <w:rsid w:val="43F641B2"/>
    <w:rsid w:val="46882A75"/>
    <w:rsid w:val="4B4E3C74"/>
    <w:rsid w:val="51EB095A"/>
    <w:rsid w:val="535449BE"/>
    <w:rsid w:val="53650979"/>
    <w:rsid w:val="541308B1"/>
    <w:rsid w:val="55B8566E"/>
    <w:rsid w:val="5A082948"/>
    <w:rsid w:val="5CA96D95"/>
    <w:rsid w:val="60C7598E"/>
    <w:rsid w:val="61316709"/>
    <w:rsid w:val="68214387"/>
    <w:rsid w:val="6BA33735"/>
    <w:rsid w:val="6C972D86"/>
    <w:rsid w:val="6CE74651"/>
    <w:rsid w:val="6FC00FB9"/>
    <w:rsid w:val="75C42647"/>
    <w:rsid w:val="7880591D"/>
    <w:rsid w:val="7C235D88"/>
    <w:rsid w:val="7CD92375"/>
    <w:rsid w:val="7EB645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1309</Words>
  <Characters>1389</Characters>
  <TotalTime>1761</TotalTime>
  <ScaleCrop>false</ScaleCrop>
  <LinksUpToDate>false</LinksUpToDate>
  <CharactersWithSpaces>1389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2021-07-16T09:20:00Z</dcterms:created>
  <dc:creator>Administrator</dc:creator>
  <cp:lastModifiedBy>集团办公室周娜</cp:lastModifiedBy>
  <cp:lastPrinted>2024-10-30T03:43:00Z</cp:lastPrinted>
  <dcterms:modified xsi:type="dcterms:W3CDTF">2024-10-31T03:11:37Z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2022-05-10T09:46:08Z</vt:filetime>
  </property>
  <property fmtid="{D5CDD505-2E9C-101B-9397-08002B2CF9AE}" pid="4" name="KSOProductBuildVer">
    <vt:lpwstr>2052-12.1.0.16120</vt:lpwstr>
  </property>
  <property fmtid="{D5CDD505-2E9C-101B-9397-08002B2CF9AE}" pid="5" name="ICV">
    <vt:lpwstr>6F841DA2B7BD4419B1B550AB641E1590_13</vt:lpwstr>
  </property>
</Properties>
</file>